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819B5" w14:textId="77777777" w:rsidR="00CC55DF" w:rsidRPr="006F2417" w:rsidRDefault="006E6A02" w:rsidP="00037633">
      <w:pPr>
        <w:spacing w:before="0" w:after="0" w:line="240" w:lineRule="auto"/>
        <w:jc w:val="center"/>
        <w:rPr>
          <w:rFonts w:ascii="Times New Roman" w:hAnsi="Times New Roman"/>
          <w:b/>
          <w:sz w:val="28"/>
          <w:lang w:val="sr-Cyrl-BA"/>
        </w:rPr>
      </w:pPr>
      <w:r w:rsidRPr="006F2417">
        <w:rPr>
          <w:rFonts w:ascii="Times New Roman" w:hAnsi="Times New Roman"/>
          <w:b/>
          <w:sz w:val="28"/>
          <w:lang w:val="sr-Cyrl-BA"/>
        </w:rPr>
        <w:t>КОМИСИЈА ЗА ХАРТИЈЕ ОД ВРИЈЕДНОСТИ</w:t>
      </w:r>
    </w:p>
    <w:p w14:paraId="614F1389" w14:textId="77777777" w:rsidR="006E6A02" w:rsidRPr="006F2417" w:rsidRDefault="006E6A02" w:rsidP="00037633">
      <w:pPr>
        <w:spacing w:before="0" w:after="0" w:line="240" w:lineRule="auto"/>
        <w:jc w:val="center"/>
        <w:rPr>
          <w:rFonts w:ascii="Times New Roman" w:hAnsi="Times New Roman"/>
          <w:b/>
          <w:sz w:val="28"/>
          <w:lang w:val="sr-Cyrl-BA"/>
        </w:rPr>
      </w:pPr>
      <w:r w:rsidRPr="006F2417">
        <w:rPr>
          <w:rFonts w:ascii="Times New Roman" w:hAnsi="Times New Roman"/>
          <w:b/>
          <w:sz w:val="28"/>
          <w:lang w:val="sr-Cyrl-BA"/>
        </w:rPr>
        <w:t>РЕПУБЛИКЕ СРПСКЕ</w:t>
      </w:r>
    </w:p>
    <w:p w14:paraId="31AD665B" w14:textId="77777777" w:rsidR="006E6A02" w:rsidRPr="006F2417" w:rsidRDefault="006E6A02" w:rsidP="00037633">
      <w:pPr>
        <w:spacing w:before="0" w:after="0" w:line="240" w:lineRule="auto"/>
        <w:jc w:val="center"/>
        <w:rPr>
          <w:rFonts w:ascii="Cambria" w:hAnsi="Cambria"/>
          <w:b/>
          <w:lang w:val="sr-Cyrl-BA"/>
        </w:rPr>
      </w:pPr>
    </w:p>
    <w:p w14:paraId="643C8700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0113F1F5" w14:textId="77777777" w:rsidR="006E6A02" w:rsidRPr="006F2417" w:rsidRDefault="00912A0F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  <w:r w:rsidRPr="006F2417">
        <w:rPr>
          <w:rFonts w:ascii="Cambria" w:eastAsia="Calibri" w:hAnsi="Cambria"/>
          <w:b/>
          <w:bCs/>
          <w:noProof/>
          <w:sz w:val="24"/>
          <w:szCs w:val="32"/>
        </w:rPr>
        <w:drawing>
          <wp:anchor distT="0" distB="0" distL="114300" distR="114300" simplePos="0" relativeHeight="251655168" behindDoc="0" locked="0" layoutInCell="1" allowOverlap="1" wp14:anchorId="5C4D4633" wp14:editId="1B8B07A5">
            <wp:simplePos x="0" y="0"/>
            <wp:positionH relativeFrom="column">
              <wp:posOffset>1652905</wp:posOffset>
            </wp:positionH>
            <wp:positionV relativeFrom="paragraph">
              <wp:posOffset>116713</wp:posOffset>
            </wp:positionV>
            <wp:extent cx="2191766" cy="2189861"/>
            <wp:effectExtent l="0" t="0" r="0" b="1270"/>
            <wp:wrapNone/>
            <wp:docPr id="5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21894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5E724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2FF1578D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58B88AD2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3AB288E2" w14:textId="77777777" w:rsidR="006E6A02" w:rsidRPr="006F2417" w:rsidRDefault="00912A0F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  <w:r w:rsidRPr="006F2417">
        <w:rPr>
          <w:rFonts w:ascii="Cambria" w:eastAsia="Calibri" w:hAnsi="Cambria"/>
          <w:b/>
          <w:bCs/>
          <w:noProof/>
          <w:sz w:val="24"/>
          <w:szCs w:val="32"/>
        </w:rPr>
        <w:drawing>
          <wp:anchor distT="274320" distB="1448689" distL="400812" distR="394208" simplePos="0" relativeHeight="251656192" behindDoc="1" locked="0" layoutInCell="1" allowOverlap="1" wp14:anchorId="3FB0F4BF" wp14:editId="02AA18E2">
            <wp:simplePos x="0" y="0"/>
            <wp:positionH relativeFrom="column">
              <wp:posOffset>-34798</wp:posOffset>
            </wp:positionH>
            <wp:positionV relativeFrom="paragraph">
              <wp:posOffset>220345</wp:posOffset>
            </wp:positionV>
            <wp:extent cx="5560060" cy="3696081"/>
            <wp:effectExtent l="323850" t="323850" r="326390" b="1504950"/>
            <wp:wrapNone/>
            <wp:docPr id="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060" cy="36957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  <a:reflection blurRad="6350" stA="52000" endA="300" endPos="3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A23D6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477DAB7F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3B291090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316D2D98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447AEC6C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3ACCBAA9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lang w:val="sr-Cyrl-BA"/>
        </w:rPr>
      </w:pPr>
    </w:p>
    <w:p w14:paraId="5B21AD8D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28"/>
          <w:lang w:val="sr-Cyrl-BA"/>
        </w:rPr>
      </w:pPr>
    </w:p>
    <w:p w14:paraId="360BD0FE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28"/>
          <w:lang w:val="sr-Cyrl-BA"/>
        </w:rPr>
      </w:pPr>
    </w:p>
    <w:p w14:paraId="7E5D60C9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5F56E7EB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240C079A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7C8C61A1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308A50A8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Cyrl-BA"/>
        </w:rPr>
      </w:pPr>
    </w:p>
    <w:p w14:paraId="4544F78D" w14:textId="77777777" w:rsidR="001F4EB5" w:rsidRPr="006F2417" w:rsidRDefault="001F4EB5" w:rsidP="00037633">
      <w:pPr>
        <w:pStyle w:val="NoSpacing"/>
        <w:jc w:val="center"/>
        <w:rPr>
          <w:rFonts w:ascii="Times New Roman" w:hAnsi="Times New Roman"/>
          <w:b/>
          <w:sz w:val="48"/>
          <w:szCs w:val="80"/>
          <w:lang w:val="sr-Cyrl-BA"/>
        </w:rPr>
      </w:pPr>
      <w:r w:rsidRPr="006F2417">
        <w:rPr>
          <w:rFonts w:ascii="Times New Roman" w:hAnsi="Times New Roman"/>
          <w:b/>
          <w:sz w:val="48"/>
          <w:szCs w:val="80"/>
          <w:lang w:val="sr-Cyrl-BA"/>
        </w:rPr>
        <w:t>Извјештај о финансијском</w:t>
      </w:r>
    </w:p>
    <w:p w14:paraId="01D9B0BF" w14:textId="77777777" w:rsidR="006E6A02" w:rsidRPr="006F2417" w:rsidRDefault="006E6A02" w:rsidP="00037633">
      <w:pPr>
        <w:pStyle w:val="NoSpacing"/>
        <w:jc w:val="center"/>
        <w:rPr>
          <w:rFonts w:ascii="Times New Roman" w:hAnsi="Times New Roman"/>
          <w:b/>
          <w:sz w:val="48"/>
          <w:szCs w:val="80"/>
          <w:lang w:val="sr-Cyrl-BA"/>
        </w:rPr>
      </w:pPr>
      <w:r w:rsidRPr="006F2417">
        <w:rPr>
          <w:rFonts w:ascii="Times New Roman" w:hAnsi="Times New Roman"/>
          <w:b/>
          <w:sz w:val="48"/>
          <w:szCs w:val="80"/>
          <w:lang w:val="sr-Cyrl-BA"/>
        </w:rPr>
        <w:t xml:space="preserve">пословању </w:t>
      </w:r>
    </w:p>
    <w:p w14:paraId="175E3EAB" w14:textId="4CAEBE07" w:rsidR="006E6A02" w:rsidRPr="006F2417" w:rsidRDefault="006E6A02" w:rsidP="00037633">
      <w:pPr>
        <w:pStyle w:val="NoSpacing"/>
        <w:jc w:val="center"/>
        <w:rPr>
          <w:rFonts w:ascii="Times New Roman" w:hAnsi="Times New Roman"/>
          <w:b/>
          <w:sz w:val="32"/>
          <w:szCs w:val="80"/>
          <w:lang w:val="sr-Cyrl-BA"/>
        </w:rPr>
      </w:pPr>
      <w:r w:rsidRPr="006F2417">
        <w:rPr>
          <w:rFonts w:ascii="Times New Roman" w:hAnsi="Times New Roman"/>
          <w:b/>
          <w:sz w:val="32"/>
          <w:szCs w:val="80"/>
          <w:lang w:val="sr-Cyrl-BA"/>
        </w:rPr>
        <w:t xml:space="preserve">за </w:t>
      </w:r>
      <w:r w:rsidR="00E859D9" w:rsidRPr="006F2417">
        <w:rPr>
          <w:rFonts w:ascii="Times New Roman" w:hAnsi="Times New Roman"/>
          <w:b/>
          <w:sz w:val="32"/>
          <w:szCs w:val="80"/>
          <w:lang w:val="sr-Cyrl-BA"/>
        </w:rPr>
        <w:t xml:space="preserve">период </w:t>
      </w:r>
      <w:r w:rsidR="00BA5542">
        <w:rPr>
          <w:rFonts w:ascii="Times New Roman" w:hAnsi="Times New Roman"/>
          <w:b/>
          <w:sz w:val="32"/>
          <w:szCs w:val="80"/>
          <w:lang w:val="sr-Cyrl-BA"/>
        </w:rPr>
        <w:t xml:space="preserve">од </w:t>
      </w:r>
      <w:r w:rsidR="00E859D9" w:rsidRPr="006F2417">
        <w:rPr>
          <w:rFonts w:ascii="Times New Roman" w:hAnsi="Times New Roman"/>
          <w:b/>
          <w:sz w:val="32"/>
          <w:szCs w:val="80"/>
          <w:lang w:val="sr-Cyrl-BA"/>
        </w:rPr>
        <w:t>01.01.</w:t>
      </w:r>
      <w:r w:rsidR="00BA5542">
        <w:rPr>
          <w:rFonts w:ascii="Times New Roman" w:hAnsi="Times New Roman"/>
          <w:b/>
          <w:sz w:val="32"/>
          <w:szCs w:val="80"/>
          <w:lang w:val="sr-Cyrl-BA"/>
        </w:rPr>
        <w:t xml:space="preserve"> до </w:t>
      </w:r>
      <w:r w:rsidR="00EC6DE0" w:rsidRPr="006F2417">
        <w:rPr>
          <w:rFonts w:ascii="Times New Roman" w:hAnsi="Times New Roman"/>
          <w:b/>
          <w:sz w:val="32"/>
          <w:szCs w:val="80"/>
          <w:lang w:val="sr-Cyrl-BA"/>
        </w:rPr>
        <w:t>31.12</w:t>
      </w:r>
      <w:r w:rsidR="00E859D9" w:rsidRPr="006F2417">
        <w:rPr>
          <w:rFonts w:ascii="Times New Roman" w:hAnsi="Times New Roman"/>
          <w:b/>
          <w:sz w:val="32"/>
          <w:szCs w:val="80"/>
          <w:lang w:val="sr-Cyrl-BA"/>
        </w:rPr>
        <w:t>.</w:t>
      </w:r>
      <w:r w:rsidRPr="006F2417">
        <w:rPr>
          <w:rFonts w:ascii="Times New Roman" w:hAnsi="Times New Roman"/>
          <w:b/>
          <w:sz w:val="32"/>
          <w:szCs w:val="80"/>
          <w:lang w:val="sr-Cyrl-BA"/>
        </w:rPr>
        <w:t>20</w:t>
      </w:r>
      <w:r w:rsidR="004A41A6" w:rsidRPr="006F2417">
        <w:rPr>
          <w:rFonts w:ascii="Times New Roman" w:hAnsi="Times New Roman"/>
          <w:b/>
          <w:sz w:val="32"/>
          <w:szCs w:val="80"/>
          <w:lang w:val="sr-Cyrl-BA"/>
        </w:rPr>
        <w:t>2</w:t>
      </w:r>
      <w:r w:rsidR="003F167C">
        <w:rPr>
          <w:rFonts w:ascii="Times New Roman" w:hAnsi="Times New Roman"/>
          <w:b/>
          <w:sz w:val="32"/>
          <w:szCs w:val="80"/>
          <w:lang w:val="sr-Latn-BA"/>
        </w:rPr>
        <w:t>4</w:t>
      </w:r>
      <w:r w:rsidRPr="006F2417">
        <w:rPr>
          <w:rFonts w:ascii="Times New Roman" w:hAnsi="Times New Roman"/>
          <w:b/>
          <w:sz w:val="32"/>
          <w:szCs w:val="80"/>
          <w:lang w:val="sr-Cyrl-BA"/>
        </w:rPr>
        <w:t>. годин</w:t>
      </w:r>
      <w:r w:rsidR="00E859D9" w:rsidRPr="006F2417">
        <w:rPr>
          <w:rFonts w:ascii="Times New Roman" w:hAnsi="Times New Roman"/>
          <w:b/>
          <w:sz w:val="32"/>
          <w:szCs w:val="80"/>
          <w:lang w:val="sr-Cyrl-BA"/>
        </w:rPr>
        <w:t>е</w:t>
      </w:r>
    </w:p>
    <w:p w14:paraId="1596F134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5AB02285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32291EDC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6E91AFE4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6615B317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69845D88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160524FE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5E68DE0B" w14:textId="77777777" w:rsidR="006E6A02" w:rsidRPr="006F2417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781B278E" w14:textId="77777777" w:rsidR="008E6152" w:rsidRPr="006F2417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44C97171" w14:textId="77777777" w:rsidR="008E6152" w:rsidRPr="006F2417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7F11C374" w14:textId="77777777" w:rsidR="008E6152" w:rsidRPr="006F2417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67843D50" w14:textId="46F919C6" w:rsidR="006E6A0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5D5EA628" w14:textId="77777777" w:rsidR="003D3DEE" w:rsidRPr="006F2417" w:rsidRDefault="003D3DEE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57310FC9" w14:textId="77777777" w:rsidR="001F4EB5" w:rsidRPr="006F2417" w:rsidRDefault="001F4EB5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Cyrl-BA"/>
        </w:rPr>
      </w:pPr>
    </w:p>
    <w:p w14:paraId="1037772D" w14:textId="77777777" w:rsidR="006E6A02" w:rsidRPr="006F2417" w:rsidRDefault="006E6A02" w:rsidP="00037633">
      <w:pPr>
        <w:pStyle w:val="NoSpacing"/>
        <w:rPr>
          <w:rFonts w:ascii="Cambria" w:hAnsi="Cambria"/>
          <w:b/>
          <w:bCs/>
          <w:sz w:val="28"/>
          <w:lang w:val="sr-Cyrl-BA"/>
        </w:rPr>
      </w:pPr>
    </w:p>
    <w:p w14:paraId="3AE3B511" w14:textId="4BE30BCF" w:rsidR="006E6A02" w:rsidRPr="006F2417" w:rsidRDefault="006E6A02" w:rsidP="00037633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6F2417">
        <w:rPr>
          <w:rFonts w:ascii="Times New Roman" w:hAnsi="Times New Roman"/>
          <w:b/>
          <w:bCs/>
          <w:sz w:val="24"/>
          <w:szCs w:val="24"/>
          <w:lang w:val="sr-Cyrl-BA"/>
        </w:rPr>
        <w:t xml:space="preserve">Бања Лука, </w:t>
      </w:r>
      <w:r w:rsidR="005A1290">
        <w:rPr>
          <w:rFonts w:ascii="Times New Roman" w:hAnsi="Times New Roman"/>
          <w:b/>
          <w:bCs/>
          <w:sz w:val="24"/>
          <w:szCs w:val="24"/>
          <w:lang w:val="sr-Cyrl-BA"/>
        </w:rPr>
        <w:t>фебруар</w:t>
      </w:r>
      <w:r w:rsidR="00574594" w:rsidRPr="006F2417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Pr="006F2417">
        <w:rPr>
          <w:rFonts w:ascii="Times New Roman" w:hAnsi="Times New Roman"/>
          <w:b/>
          <w:bCs/>
          <w:sz w:val="24"/>
          <w:szCs w:val="24"/>
          <w:lang w:val="sr-Cyrl-BA"/>
        </w:rPr>
        <w:t>20</w:t>
      </w:r>
      <w:r w:rsidR="00A119E7" w:rsidRPr="006F2417">
        <w:rPr>
          <w:rFonts w:ascii="Times New Roman" w:hAnsi="Times New Roman"/>
          <w:b/>
          <w:bCs/>
          <w:sz w:val="24"/>
          <w:szCs w:val="24"/>
          <w:lang w:val="sr-Cyrl-BA"/>
        </w:rPr>
        <w:t>2</w:t>
      </w:r>
      <w:r w:rsidR="003F167C">
        <w:rPr>
          <w:rFonts w:ascii="Times New Roman" w:hAnsi="Times New Roman"/>
          <w:b/>
          <w:bCs/>
          <w:sz w:val="24"/>
          <w:szCs w:val="24"/>
          <w:lang w:val="bs-Latn-BA"/>
        </w:rPr>
        <w:t>5</w:t>
      </w:r>
      <w:r w:rsidRPr="006F2417">
        <w:rPr>
          <w:rFonts w:ascii="Times New Roman" w:hAnsi="Times New Roman"/>
          <w:b/>
          <w:bCs/>
          <w:sz w:val="24"/>
          <w:szCs w:val="24"/>
          <w:lang w:val="sr-Cyrl-BA"/>
        </w:rPr>
        <w:t>. године</w:t>
      </w:r>
    </w:p>
    <w:p w14:paraId="4CA61E19" w14:textId="77777777" w:rsidR="006E6A02" w:rsidRPr="006F2417" w:rsidRDefault="00912A0F" w:rsidP="00037633">
      <w:pPr>
        <w:pStyle w:val="NoSpacing"/>
        <w:jc w:val="center"/>
        <w:rPr>
          <w:rFonts w:ascii="Cambria" w:hAnsi="Cambria"/>
          <w:b/>
          <w:bCs/>
          <w:sz w:val="28"/>
          <w:lang w:val="sr-Cyrl-BA"/>
        </w:rPr>
      </w:pPr>
      <w:r w:rsidRPr="006F2417">
        <w:rPr>
          <w:rFonts w:ascii="Cambria" w:hAnsi="Cambr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289533E" wp14:editId="794B53C1">
                <wp:simplePos x="0" y="0"/>
                <wp:positionH relativeFrom="column">
                  <wp:posOffset>-445135</wp:posOffset>
                </wp:positionH>
                <wp:positionV relativeFrom="paragraph">
                  <wp:posOffset>-480060</wp:posOffset>
                </wp:positionV>
                <wp:extent cx="6346190" cy="61760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617601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DD3BEF3" id="Rectangle 2" o:spid="_x0000_s1026" style="position:absolute;margin-left:-35.05pt;margin-top:-37.8pt;width:499.7pt;height:486.3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" fillcolor="#dbe5f1" stroked="f"/>
            </w:pict>
          </mc:Fallback>
        </mc:AlternateConten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00" w:firstRow="0" w:lastRow="0" w:firstColumn="0" w:lastColumn="0" w:noHBand="0" w:noVBand="1"/>
      </w:tblPr>
      <w:tblGrid>
        <w:gridCol w:w="4405"/>
        <w:gridCol w:w="4405"/>
      </w:tblGrid>
      <w:tr w:rsidR="006E6A02" w:rsidRPr="006F2417" w14:paraId="3B68A80E" w14:textId="77777777" w:rsidTr="006E6A02">
        <w:tc>
          <w:tcPr>
            <w:tcW w:w="4405" w:type="dxa"/>
          </w:tcPr>
          <w:p w14:paraId="1BDD8584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>Адреса:</w:t>
            </w:r>
          </w:p>
        </w:tc>
        <w:tc>
          <w:tcPr>
            <w:tcW w:w="4405" w:type="dxa"/>
          </w:tcPr>
          <w:p w14:paraId="1C57EA07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Бања Лука</w:t>
            </w:r>
          </w:p>
          <w:p w14:paraId="73B9D68C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Вука Караџића 6</w:t>
            </w:r>
          </w:p>
        </w:tc>
      </w:tr>
      <w:tr w:rsidR="006E6A02" w:rsidRPr="006F2417" w14:paraId="6B69B50E" w14:textId="77777777" w:rsidTr="006E6A02">
        <w:tc>
          <w:tcPr>
            <w:tcW w:w="4405" w:type="dxa"/>
          </w:tcPr>
          <w:p w14:paraId="3903E9D8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>Телефон(и):</w:t>
            </w:r>
          </w:p>
        </w:tc>
        <w:tc>
          <w:tcPr>
            <w:tcW w:w="4405" w:type="dxa"/>
          </w:tcPr>
          <w:p w14:paraId="662EC541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+387 51 218 356</w:t>
            </w:r>
          </w:p>
          <w:p w14:paraId="2B523AE3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+387 51 218 362</w:t>
            </w:r>
          </w:p>
          <w:p w14:paraId="0CA9DC00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+387 51 212 199</w:t>
            </w:r>
          </w:p>
        </w:tc>
      </w:tr>
      <w:tr w:rsidR="006E6A02" w:rsidRPr="006F2417" w14:paraId="5342A31F" w14:textId="77777777" w:rsidTr="006E6A02">
        <w:tc>
          <w:tcPr>
            <w:tcW w:w="4405" w:type="dxa"/>
          </w:tcPr>
          <w:p w14:paraId="5153B7BF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>Факс:</w:t>
            </w:r>
          </w:p>
        </w:tc>
        <w:tc>
          <w:tcPr>
            <w:tcW w:w="4405" w:type="dxa"/>
          </w:tcPr>
          <w:p w14:paraId="13BCF654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sz w:val="24"/>
                <w:lang w:val="sr-Cyrl-BA"/>
              </w:rPr>
              <w:t>+387 51 218 361</w:t>
            </w:r>
          </w:p>
        </w:tc>
      </w:tr>
      <w:tr w:rsidR="006E6A02" w:rsidRPr="006F2417" w14:paraId="11B29662" w14:textId="77777777" w:rsidTr="006E6A02">
        <w:tc>
          <w:tcPr>
            <w:tcW w:w="4405" w:type="dxa"/>
          </w:tcPr>
          <w:p w14:paraId="3E78B55A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 xml:space="preserve">e-mail: </w:t>
            </w:r>
          </w:p>
        </w:tc>
        <w:tc>
          <w:tcPr>
            <w:tcW w:w="4405" w:type="dxa"/>
          </w:tcPr>
          <w:p w14:paraId="37D21669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Cs/>
                <w:sz w:val="24"/>
                <w:lang w:val="sr-Cyrl-BA"/>
              </w:rPr>
              <w:t>kontakt@secrs.gov.ba</w:t>
            </w:r>
          </w:p>
        </w:tc>
      </w:tr>
      <w:tr w:rsidR="006E6A02" w:rsidRPr="006F2417" w14:paraId="64850602" w14:textId="77777777" w:rsidTr="006E6A02">
        <w:tc>
          <w:tcPr>
            <w:tcW w:w="4405" w:type="dxa"/>
          </w:tcPr>
          <w:p w14:paraId="0B3FF815" w14:textId="77777777" w:rsidR="006E6A02" w:rsidRPr="006F2417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/>
                <w:sz w:val="24"/>
                <w:lang w:val="sr-Cyrl-BA"/>
              </w:rPr>
              <w:t>Web:</w:t>
            </w:r>
          </w:p>
        </w:tc>
        <w:tc>
          <w:tcPr>
            <w:tcW w:w="4405" w:type="dxa"/>
          </w:tcPr>
          <w:p w14:paraId="301D063C" w14:textId="77777777" w:rsidR="006E6A02" w:rsidRPr="006F2417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Cyrl-BA"/>
              </w:rPr>
            </w:pPr>
            <w:r w:rsidRPr="006F2417">
              <w:rPr>
                <w:rFonts w:ascii="Times New Roman" w:hAnsi="Times New Roman"/>
                <w:bCs/>
                <w:sz w:val="24"/>
                <w:lang w:val="sr-Cyrl-BA"/>
              </w:rPr>
              <w:t>www.secrs.gov.ba</w:t>
            </w:r>
          </w:p>
        </w:tc>
      </w:tr>
    </w:tbl>
    <w:p w14:paraId="5E446F3D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026C6250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130440CD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2536B29F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3E6F4671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4DEE3E3B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47D64DD3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0374832E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27D921ED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4FF74D00" w14:textId="77777777" w:rsidR="006E6A02" w:rsidRPr="006F2417" w:rsidRDefault="006E6A02" w:rsidP="00037633">
      <w:pPr>
        <w:spacing w:before="0" w:after="0" w:line="240" w:lineRule="auto"/>
        <w:rPr>
          <w:rFonts w:ascii="Cambria" w:hAnsi="Cambria"/>
          <w:lang w:val="sr-Cyrl-BA"/>
        </w:rPr>
      </w:pPr>
    </w:p>
    <w:p w14:paraId="5D51D2EA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271533A6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736B3C92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73FFA200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30F6C8AC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067D2CE7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0B305929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8D9390F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206ED303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6A1D668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19AB3617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846CFD2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2F9F7F5C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14E5BE9F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4CCE9734" w14:textId="77777777" w:rsidR="006E6A02" w:rsidRPr="006F2417" w:rsidRDefault="00912A0F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  <w:r w:rsidRPr="006F2417">
        <w:rPr>
          <w:rFonts w:ascii="Cambria" w:hAnsi="Cambr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9D908F9" wp14:editId="763A2E04">
                <wp:simplePos x="0" y="0"/>
                <wp:positionH relativeFrom="column">
                  <wp:posOffset>-445135</wp:posOffset>
                </wp:positionH>
                <wp:positionV relativeFrom="paragraph">
                  <wp:posOffset>78740</wp:posOffset>
                </wp:positionV>
                <wp:extent cx="6346190" cy="267652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2676525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9A73136" id="Rectangle 3" o:spid="_x0000_s1026" style="position:absolute;margin-left:-35.05pt;margin-top:6.2pt;width:499.7pt;height:21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" fillcolor="#b8cce4" stroked="f"/>
            </w:pict>
          </mc:Fallback>
        </mc:AlternateContent>
      </w:r>
    </w:p>
    <w:p w14:paraId="2C8B7DA2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7E5F7E39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307A50C3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F790CA6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41E724E8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5B7FA1A2" w14:textId="77777777" w:rsidR="006E6A02" w:rsidRPr="006F2417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Cyrl-BA"/>
        </w:rPr>
      </w:pPr>
    </w:p>
    <w:p w14:paraId="4A68BD63" w14:textId="77777777" w:rsidR="001F4EB5" w:rsidRPr="006F2417" w:rsidRDefault="006E6A02" w:rsidP="00037633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6F2417">
        <w:rPr>
          <w:rFonts w:ascii="Times New Roman" w:hAnsi="Times New Roman"/>
          <w:b/>
          <w:bCs/>
          <w:sz w:val="28"/>
          <w:szCs w:val="28"/>
          <w:lang w:val="sr-Cyrl-BA"/>
        </w:rPr>
        <w:t xml:space="preserve">Извјештај о финансијском пословању за </w:t>
      </w:r>
      <w:r w:rsidR="00E859D9" w:rsidRPr="006F2417">
        <w:rPr>
          <w:rFonts w:ascii="Times New Roman" w:hAnsi="Times New Roman"/>
          <w:b/>
          <w:sz w:val="28"/>
          <w:szCs w:val="28"/>
          <w:lang w:val="sr-Cyrl-BA"/>
        </w:rPr>
        <w:t xml:space="preserve">период </w:t>
      </w:r>
    </w:p>
    <w:p w14:paraId="2F364A45" w14:textId="046B6D6C" w:rsidR="006E6A02" w:rsidRPr="006F2417" w:rsidRDefault="00BA5542" w:rsidP="00037633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 xml:space="preserve">од </w:t>
      </w:r>
      <w:r w:rsidR="00E859D9" w:rsidRPr="006F2417">
        <w:rPr>
          <w:rFonts w:ascii="Times New Roman" w:hAnsi="Times New Roman"/>
          <w:b/>
          <w:sz w:val="28"/>
          <w:szCs w:val="28"/>
          <w:lang w:val="sr-Cyrl-BA"/>
        </w:rPr>
        <w:t>01.01.</w:t>
      </w:r>
      <w:r>
        <w:rPr>
          <w:rFonts w:ascii="Times New Roman" w:hAnsi="Times New Roman"/>
          <w:b/>
          <w:sz w:val="28"/>
          <w:szCs w:val="28"/>
          <w:lang w:val="sr-Cyrl-BA"/>
        </w:rPr>
        <w:t xml:space="preserve"> до </w:t>
      </w:r>
      <w:r w:rsidR="00EC6DE0" w:rsidRPr="006F2417">
        <w:rPr>
          <w:rFonts w:ascii="Times New Roman" w:hAnsi="Times New Roman"/>
          <w:b/>
          <w:sz w:val="28"/>
          <w:szCs w:val="28"/>
          <w:lang w:val="sr-Cyrl-BA"/>
        </w:rPr>
        <w:t>31</w:t>
      </w:r>
      <w:r w:rsidR="00E859D9" w:rsidRPr="006F2417">
        <w:rPr>
          <w:rFonts w:ascii="Times New Roman" w:hAnsi="Times New Roman"/>
          <w:b/>
          <w:sz w:val="28"/>
          <w:szCs w:val="28"/>
          <w:lang w:val="sr-Cyrl-BA"/>
        </w:rPr>
        <w:t>.</w:t>
      </w:r>
      <w:r w:rsidR="00EC6DE0" w:rsidRPr="006F2417">
        <w:rPr>
          <w:rFonts w:ascii="Times New Roman" w:hAnsi="Times New Roman"/>
          <w:b/>
          <w:sz w:val="28"/>
          <w:szCs w:val="28"/>
          <w:lang w:val="sr-Cyrl-BA"/>
        </w:rPr>
        <w:t>12</w:t>
      </w:r>
      <w:r w:rsidR="00E859D9" w:rsidRPr="006F2417">
        <w:rPr>
          <w:rFonts w:ascii="Times New Roman" w:hAnsi="Times New Roman"/>
          <w:b/>
          <w:sz w:val="28"/>
          <w:szCs w:val="28"/>
          <w:lang w:val="sr-Cyrl-BA"/>
        </w:rPr>
        <w:t>.20</w:t>
      </w:r>
      <w:r w:rsidR="004A41A6" w:rsidRPr="006F2417">
        <w:rPr>
          <w:rFonts w:ascii="Times New Roman" w:hAnsi="Times New Roman"/>
          <w:b/>
          <w:sz w:val="28"/>
          <w:szCs w:val="28"/>
          <w:lang w:val="sr-Cyrl-BA"/>
        </w:rPr>
        <w:t>2</w:t>
      </w:r>
      <w:r w:rsidR="003F167C">
        <w:rPr>
          <w:rFonts w:ascii="Times New Roman" w:hAnsi="Times New Roman"/>
          <w:b/>
          <w:sz w:val="28"/>
          <w:szCs w:val="28"/>
          <w:lang w:val="sr-Latn-BA"/>
        </w:rPr>
        <w:t>4</w:t>
      </w:r>
      <w:r w:rsidR="00E859D9" w:rsidRPr="006F2417">
        <w:rPr>
          <w:rFonts w:ascii="Times New Roman" w:hAnsi="Times New Roman"/>
          <w:b/>
          <w:sz w:val="28"/>
          <w:szCs w:val="28"/>
          <w:lang w:val="sr-Cyrl-BA"/>
        </w:rPr>
        <w:t>.</w:t>
      </w:r>
      <w:r w:rsidR="006E6A02" w:rsidRPr="006F2417">
        <w:rPr>
          <w:rFonts w:ascii="Times New Roman" w:hAnsi="Times New Roman"/>
          <w:b/>
          <w:bCs/>
          <w:sz w:val="28"/>
          <w:szCs w:val="28"/>
          <w:lang w:val="sr-Cyrl-BA"/>
        </w:rPr>
        <w:t xml:space="preserve"> годину</w:t>
      </w:r>
    </w:p>
    <w:p w14:paraId="50CC0199" w14:textId="77777777" w:rsidR="006E6A02" w:rsidRPr="006F2417" w:rsidRDefault="00000000" w:rsidP="00037633">
      <w:pPr>
        <w:pStyle w:val="NoSpacing"/>
        <w:jc w:val="center"/>
        <w:rPr>
          <w:rFonts w:ascii="Times New Roman" w:hAnsi="Times New Roman"/>
          <w:lang w:val="sr-Cyrl-BA"/>
        </w:rPr>
      </w:pPr>
      <w:hyperlink r:id="rId10" w:history="1">
        <w:r w:rsidR="008E6152" w:rsidRPr="006F2417">
          <w:rPr>
            <w:rStyle w:val="Hyperlink"/>
            <w:rFonts w:ascii="Times New Roman" w:hAnsi="Times New Roman"/>
            <w:lang w:val="sr-Cyrl-BA"/>
          </w:rPr>
          <w:t>www.secrs.gov.ba/Izvjestaji/</w:t>
        </w:r>
      </w:hyperlink>
    </w:p>
    <w:p w14:paraId="3D661DD4" w14:textId="77777777" w:rsidR="008E6152" w:rsidRPr="006F2417" w:rsidRDefault="008E6152" w:rsidP="00037633">
      <w:pPr>
        <w:pStyle w:val="NoSpacing"/>
        <w:jc w:val="center"/>
        <w:rPr>
          <w:rFonts w:ascii="Times New Roman" w:hAnsi="Times New Roman"/>
          <w:lang w:val="sr-Cyrl-BA"/>
        </w:rPr>
      </w:pPr>
    </w:p>
    <w:p w14:paraId="1193204A" w14:textId="77777777" w:rsidR="008E6152" w:rsidRPr="006F2417" w:rsidRDefault="008E6152" w:rsidP="00037633">
      <w:pPr>
        <w:pStyle w:val="NoSpacing"/>
        <w:jc w:val="center"/>
        <w:rPr>
          <w:rFonts w:ascii="Times New Roman" w:hAnsi="Times New Roman"/>
          <w:lang w:val="sr-Cyrl-BA"/>
        </w:rPr>
      </w:pPr>
    </w:p>
    <w:p w14:paraId="544A7B4B" w14:textId="77777777" w:rsidR="00636496" w:rsidRPr="006F2417" w:rsidRDefault="00636496" w:rsidP="00037633">
      <w:pPr>
        <w:pStyle w:val="NoSpacing"/>
        <w:jc w:val="center"/>
        <w:rPr>
          <w:rFonts w:ascii="Times New Roman" w:hAnsi="Times New Roman"/>
          <w:lang w:val="sr-Cyrl-BA"/>
        </w:rPr>
      </w:pPr>
    </w:p>
    <w:p w14:paraId="4868BFDE" w14:textId="77777777" w:rsidR="00636496" w:rsidRPr="006F2417" w:rsidRDefault="00636496" w:rsidP="00037633">
      <w:pPr>
        <w:pStyle w:val="NoSpacing"/>
        <w:jc w:val="center"/>
        <w:rPr>
          <w:rFonts w:ascii="Times New Roman" w:hAnsi="Times New Roman"/>
          <w:lang w:val="sr-Cyrl-BA"/>
        </w:rPr>
      </w:pPr>
    </w:p>
    <w:p w14:paraId="75957665" w14:textId="77777777" w:rsidR="008E6152" w:rsidRPr="006F2417" w:rsidRDefault="008E6152" w:rsidP="00037633">
      <w:pPr>
        <w:pStyle w:val="NoSpacing"/>
        <w:jc w:val="center"/>
        <w:rPr>
          <w:rFonts w:ascii="Times New Roman" w:hAnsi="Times New Roman"/>
          <w:bCs/>
          <w:lang w:val="sr-Cyrl-BA"/>
        </w:rPr>
      </w:pPr>
    </w:p>
    <w:p w14:paraId="01EBFD3A" w14:textId="77777777" w:rsidR="000D5EA5" w:rsidRPr="004C6172" w:rsidRDefault="004C617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Cyrl-BA"/>
        </w:rPr>
      </w:pPr>
      <w:r w:rsidRPr="004C6172">
        <w:rPr>
          <w:rFonts w:ascii="Times New Roman" w:hAnsi="Times New Roman"/>
          <w:caps w:val="0"/>
          <w:color w:val="365F91" w:themeColor="accent1" w:themeShade="BF"/>
          <w:sz w:val="28"/>
          <w:lang w:val="sr-Cyrl-BA"/>
        </w:rPr>
        <w:lastRenderedPageBreak/>
        <w:t>ИНФОРМАЦИЈА О ИНСТИТУЦИЈИ</w:t>
      </w:r>
    </w:p>
    <w:p w14:paraId="555E4959" w14:textId="7C0ABE06" w:rsidR="00BB7C11" w:rsidRPr="006F2417" w:rsidRDefault="00F9581D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1F4EB5">
        <w:rPr>
          <w:rFonts w:ascii="Times New Roman" w:hAnsi="Times New Roman"/>
          <w:bCs/>
          <w:sz w:val="24"/>
          <w:szCs w:val="24"/>
          <w:lang w:val="sr-Cyrl-CS"/>
        </w:rPr>
        <w:t>Комисија за хартије од вриједности Републике Српске (у даљем тексту: Комисија)</w:t>
      </w:r>
      <w:r w:rsidRPr="001F4EB5">
        <w:rPr>
          <w:rFonts w:ascii="Times New Roman" w:hAnsi="Times New Roman"/>
          <w:bCs/>
        </w:rPr>
        <w:t xml:space="preserve"> </w:t>
      </w:r>
      <w:r w:rsidRPr="001F4EB5">
        <w:rPr>
          <w:rFonts w:ascii="Times New Roman" w:hAnsi="Times New Roman"/>
          <w:bCs/>
          <w:sz w:val="24"/>
          <w:szCs w:val="24"/>
          <w:lang w:val="sr-Cyrl-CS"/>
        </w:rPr>
        <w:t>је установљена Законом о хартијама од вриједности. Одлуком Народне Скупштине Републике Српске број: 01-231/00 од 04.05.2000. године именована је Комисија за хартије од вриједности Републике Српске</w:t>
      </w:r>
      <w:r w:rsidR="00BA41B6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14:paraId="1D30CCC7" w14:textId="77777777" w:rsidR="00357450" w:rsidRPr="004C6172" w:rsidRDefault="00357450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Cyrl-BA"/>
        </w:rPr>
      </w:pPr>
      <w:r w:rsidRPr="004C6172">
        <w:rPr>
          <w:rFonts w:ascii="Times New Roman" w:hAnsi="Times New Roman"/>
          <w:color w:val="365F91" w:themeColor="accent1" w:themeShade="BF"/>
          <w:sz w:val="28"/>
          <w:lang w:val="sr-Cyrl-BA"/>
        </w:rPr>
        <w:t>ФИНАНСИРАЊЕ КОМИСИЈЕ</w:t>
      </w:r>
    </w:p>
    <w:p w14:paraId="742CB8EB" w14:textId="47B16B7A" w:rsidR="001F4EB5" w:rsidRPr="007E74DE" w:rsidRDefault="00F9581D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1F4EB5">
        <w:rPr>
          <w:rFonts w:ascii="Times New Roman" w:hAnsi="Times New Roman"/>
          <w:bCs/>
          <w:sz w:val="24"/>
          <w:lang w:val="sr-Cyrl-BA"/>
        </w:rPr>
        <w:t>Начин финансирања Комисије за хартије од вриједности Републике Српске регулисан је чланом 259. Закона о тржишту хартија од вриједности</w:t>
      </w:r>
      <w:r w:rsidRPr="001F4EB5">
        <w:rPr>
          <w:rStyle w:val="FootnoteReference"/>
          <w:rFonts w:ascii="Times New Roman" w:hAnsi="Times New Roman"/>
          <w:bCs/>
          <w:sz w:val="24"/>
          <w:lang w:val="sr-Cyrl-BA"/>
        </w:rPr>
        <w:footnoteReference w:id="1"/>
      </w:r>
      <w:r w:rsidRPr="001F4EB5">
        <w:rPr>
          <w:rFonts w:ascii="Times New Roman" w:hAnsi="Times New Roman"/>
          <w:bCs/>
          <w:sz w:val="24"/>
          <w:lang w:val="sr-Cyrl-BA"/>
        </w:rPr>
        <w:t>. У 20</w:t>
      </w:r>
      <w:r>
        <w:rPr>
          <w:rFonts w:ascii="Times New Roman" w:hAnsi="Times New Roman"/>
          <w:bCs/>
          <w:sz w:val="24"/>
          <w:lang w:val="sr-Latn-BA"/>
        </w:rPr>
        <w:t>2</w:t>
      </w:r>
      <w:r w:rsidR="003F167C">
        <w:rPr>
          <w:rFonts w:ascii="Times New Roman" w:hAnsi="Times New Roman"/>
          <w:bCs/>
          <w:sz w:val="24"/>
        </w:rPr>
        <w:t>4</w:t>
      </w:r>
      <w:r w:rsidRPr="001F4EB5">
        <w:rPr>
          <w:rFonts w:ascii="Times New Roman" w:hAnsi="Times New Roman"/>
          <w:bCs/>
          <w:sz w:val="24"/>
          <w:lang w:val="sr-Cyrl-BA"/>
        </w:rPr>
        <w:t xml:space="preserve">. години Комисија се финансирала из властитих прихода, остварених обављањем послова прописаних Законом о тржишту хартија од вриједности и другим прописима,  </w:t>
      </w:r>
      <w:r>
        <w:rPr>
          <w:rFonts w:ascii="Times New Roman" w:hAnsi="Times New Roman"/>
          <w:bCs/>
          <w:sz w:val="24"/>
          <w:lang w:val="sr-Cyrl-BA"/>
        </w:rPr>
        <w:t>остварујући</w:t>
      </w:r>
      <w:r w:rsidRPr="001F4EB5">
        <w:rPr>
          <w:rFonts w:ascii="Times New Roman" w:hAnsi="Times New Roman"/>
          <w:bCs/>
          <w:sz w:val="24"/>
          <w:lang w:val="sr-Cyrl-BA"/>
        </w:rPr>
        <w:t xml:space="preserve"> укупне приходе у износу од </w:t>
      </w:r>
      <w:r>
        <w:rPr>
          <w:rFonts w:ascii="Times New Roman" w:hAnsi="Times New Roman"/>
          <w:bCs/>
          <w:sz w:val="24"/>
          <w:lang w:val="sr-Cyrl-BA"/>
        </w:rPr>
        <w:t>1.</w:t>
      </w:r>
      <w:r w:rsidR="00B0730D">
        <w:rPr>
          <w:rFonts w:ascii="Times New Roman" w:hAnsi="Times New Roman"/>
          <w:bCs/>
          <w:sz w:val="24"/>
          <w:lang w:val="sr-Cyrl-BA"/>
        </w:rPr>
        <w:t>791</w:t>
      </w:r>
      <w:r>
        <w:rPr>
          <w:rFonts w:ascii="Times New Roman" w:hAnsi="Times New Roman"/>
          <w:bCs/>
          <w:sz w:val="24"/>
          <w:lang w:val="sr-Cyrl-BA"/>
        </w:rPr>
        <w:t>.</w:t>
      </w:r>
      <w:r w:rsidR="00B0730D">
        <w:rPr>
          <w:rFonts w:ascii="Times New Roman" w:hAnsi="Times New Roman"/>
          <w:bCs/>
          <w:sz w:val="24"/>
          <w:lang w:val="sr-Cyrl-BA"/>
        </w:rPr>
        <w:t>187</w:t>
      </w:r>
      <w:r w:rsidRPr="00636496">
        <w:rPr>
          <w:rFonts w:ascii="Times New Roman" w:hAnsi="Times New Roman"/>
          <w:bCs/>
          <w:sz w:val="24"/>
          <w:lang w:val="sr-Latn-BA"/>
        </w:rPr>
        <w:t xml:space="preserve"> </w:t>
      </w:r>
      <w:r w:rsidRPr="00636496">
        <w:rPr>
          <w:rFonts w:ascii="Times New Roman" w:hAnsi="Times New Roman"/>
          <w:bCs/>
          <w:sz w:val="24"/>
          <w:lang w:val="sr-Cyrl-BA"/>
        </w:rPr>
        <w:t>КМ</w:t>
      </w:r>
      <w:r w:rsidR="007E74DE">
        <w:rPr>
          <w:rFonts w:ascii="Times New Roman" w:hAnsi="Times New Roman"/>
          <w:bCs/>
          <w:sz w:val="24"/>
          <w:lang w:val="sr-Latn-BA"/>
        </w:rPr>
        <w:t>.</w:t>
      </w:r>
    </w:p>
    <w:tbl>
      <w:tblPr>
        <w:tblStyle w:val="LightGrid-Accent1"/>
        <w:tblW w:w="8805" w:type="dxa"/>
        <w:jc w:val="center"/>
        <w:tblLook w:val="04E0" w:firstRow="1" w:lastRow="1" w:firstColumn="1" w:lastColumn="0" w:noHBand="0" w:noVBand="1"/>
      </w:tblPr>
      <w:tblGrid>
        <w:gridCol w:w="2542"/>
        <w:gridCol w:w="2551"/>
        <w:gridCol w:w="2433"/>
        <w:gridCol w:w="1279"/>
      </w:tblGrid>
      <w:tr w:rsidR="005A1290" w:rsidRPr="006F2417" w14:paraId="7F61E090" w14:textId="77777777" w:rsidTr="00755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2" w:type="dxa"/>
            <w:noWrap/>
            <w:hideMark/>
          </w:tcPr>
          <w:p w14:paraId="72BF0C46" w14:textId="77777777" w:rsidR="005A1290" w:rsidRPr="006F2417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</w:p>
        </w:tc>
        <w:tc>
          <w:tcPr>
            <w:tcW w:w="2551" w:type="dxa"/>
            <w:vAlign w:val="center"/>
            <w:hideMark/>
          </w:tcPr>
          <w:p w14:paraId="2646D1D7" w14:textId="4B80A387" w:rsidR="005A1290" w:rsidRPr="004F1054" w:rsidRDefault="005A1290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Остварено у периоду</w:t>
            </w:r>
            <w:r w:rsidR="00755D68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 од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 01.01.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="00755D68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до 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31.12.202</w:t>
            </w:r>
            <w:r w:rsidR="003F167C"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4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. </w:t>
            </w:r>
          </w:p>
        </w:tc>
        <w:tc>
          <w:tcPr>
            <w:tcW w:w="2433" w:type="dxa"/>
            <w:vAlign w:val="center"/>
          </w:tcPr>
          <w:p w14:paraId="4EDFBAE6" w14:textId="5699D5A7" w:rsidR="005A1290" w:rsidRPr="004F1054" w:rsidRDefault="005A1290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Остварено у периоду </w:t>
            </w:r>
            <w:r w:rsidR="00755D68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од 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01.01.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="00755D68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до 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31.12.202</w:t>
            </w:r>
            <w:r w:rsidR="003F167C"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3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 xml:space="preserve">. </w:t>
            </w:r>
          </w:p>
        </w:tc>
        <w:tc>
          <w:tcPr>
            <w:tcW w:w="1279" w:type="dxa"/>
            <w:noWrap/>
            <w:vAlign w:val="center"/>
            <w:hideMark/>
          </w:tcPr>
          <w:p w14:paraId="6F67E24F" w14:textId="44C0542F" w:rsidR="005A1290" w:rsidRPr="003F167C" w:rsidRDefault="005A1290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Остварено 202</w:t>
            </w:r>
            <w:r w:rsidR="003F167C"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4</w:t>
            </w:r>
            <w:r w:rsidRPr="004F1054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/202</w:t>
            </w:r>
            <w:r w:rsidR="003F167C"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3</w:t>
            </w:r>
          </w:p>
        </w:tc>
      </w:tr>
      <w:tr w:rsidR="003F167C" w:rsidRPr="006F2417" w14:paraId="7ECBCCD3" w14:textId="77777777" w:rsidTr="00755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2" w:type="dxa"/>
            <w:noWrap/>
            <w:hideMark/>
          </w:tcPr>
          <w:p w14:paraId="68F0FBDB" w14:textId="77777777" w:rsidR="003F167C" w:rsidRPr="006F2417" w:rsidRDefault="003F167C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Пословни приходи</w:t>
            </w:r>
          </w:p>
        </w:tc>
        <w:tc>
          <w:tcPr>
            <w:tcW w:w="2551" w:type="dxa"/>
            <w:noWrap/>
            <w:vAlign w:val="center"/>
          </w:tcPr>
          <w:p w14:paraId="7FFAF106" w14:textId="485A0D9F" w:rsidR="003F167C" w:rsidRPr="003F167C" w:rsidRDefault="003F167C" w:rsidP="003F167C">
            <w:pPr>
              <w:tabs>
                <w:tab w:val="decimal" w:pos="2014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1.774.577</w:t>
            </w:r>
          </w:p>
        </w:tc>
        <w:tc>
          <w:tcPr>
            <w:tcW w:w="2433" w:type="dxa"/>
            <w:vAlign w:val="center"/>
          </w:tcPr>
          <w:p w14:paraId="602558AF" w14:textId="70B5B9E5" w:rsidR="003F167C" w:rsidRPr="004F1054" w:rsidRDefault="003F167C" w:rsidP="003F167C">
            <w:pPr>
              <w:tabs>
                <w:tab w:val="decimal" w:pos="1875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1.010.978</w:t>
            </w:r>
          </w:p>
        </w:tc>
        <w:tc>
          <w:tcPr>
            <w:tcW w:w="1279" w:type="dxa"/>
            <w:noWrap/>
            <w:vAlign w:val="center"/>
          </w:tcPr>
          <w:p w14:paraId="0C323FF2" w14:textId="32B43427" w:rsidR="003F167C" w:rsidRPr="00A234AF" w:rsidRDefault="003F167C" w:rsidP="003F167C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1,75</w:t>
            </w:r>
          </w:p>
        </w:tc>
      </w:tr>
      <w:tr w:rsidR="003F167C" w:rsidRPr="006F2417" w14:paraId="09B3FF9D" w14:textId="77777777" w:rsidTr="00755D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2" w:type="dxa"/>
            <w:hideMark/>
          </w:tcPr>
          <w:p w14:paraId="6B7DB768" w14:textId="77777777" w:rsidR="003F167C" w:rsidRPr="006F2417" w:rsidRDefault="003F167C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Финансијски приходи</w:t>
            </w:r>
          </w:p>
        </w:tc>
        <w:tc>
          <w:tcPr>
            <w:tcW w:w="2551" w:type="dxa"/>
            <w:noWrap/>
            <w:vAlign w:val="center"/>
          </w:tcPr>
          <w:p w14:paraId="50F1FB41" w14:textId="7131E72C" w:rsidR="003F167C" w:rsidRPr="003F167C" w:rsidRDefault="003F167C" w:rsidP="003F167C">
            <w:pPr>
              <w:tabs>
                <w:tab w:val="decimal" w:pos="2014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16.610</w:t>
            </w:r>
          </w:p>
        </w:tc>
        <w:tc>
          <w:tcPr>
            <w:tcW w:w="2433" w:type="dxa"/>
            <w:vAlign w:val="center"/>
          </w:tcPr>
          <w:p w14:paraId="7CBB2F8E" w14:textId="06A97B62" w:rsidR="003F167C" w:rsidRPr="004F1054" w:rsidRDefault="003F167C" w:rsidP="003F167C">
            <w:pPr>
              <w:tabs>
                <w:tab w:val="decimal" w:pos="1875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5.374</w:t>
            </w:r>
          </w:p>
        </w:tc>
        <w:tc>
          <w:tcPr>
            <w:tcW w:w="1279" w:type="dxa"/>
            <w:noWrap/>
            <w:vAlign w:val="center"/>
          </w:tcPr>
          <w:p w14:paraId="46B0DA50" w14:textId="6FF0FE75" w:rsidR="003F167C" w:rsidRPr="003F167C" w:rsidRDefault="003F167C" w:rsidP="003F167C">
            <w:pPr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3,09</w:t>
            </w:r>
          </w:p>
        </w:tc>
      </w:tr>
      <w:tr w:rsidR="003F167C" w:rsidRPr="006F2417" w14:paraId="320B6E76" w14:textId="77777777" w:rsidTr="00755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2" w:type="dxa"/>
            <w:noWrap/>
            <w:hideMark/>
          </w:tcPr>
          <w:p w14:paraId="5961E7A0" w14:textId="44C20394" w:rsidR="003F167C" w:rsidRPr="006F2417" w:rsidRDefault="003F167C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 w:rsidRPr="00AF2171"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Остали приходи</w:t>
            </w:r>
          </w:p>
        </w:tc>
        <w:tc>
          <w:tcPr>
            <w:tcW w:w="2551" w:type="dxa"/>
            <w:noWrap/>
            <w:vAlign w:val="center"/>
          </w:tcPr>
          <w:p w14:paraId="1BFFCACE" w14:textId="125B2B0E" w:rsidR="003F167C" w:rsidRPr="003F167C" w:rsidRDefault="003F167C" w:rsidP="003F167C">
            <w:pPr>
              <w:tabs>
                <w:tab w:val="decimal" w:pos="2014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0</w:t>
            </w:r>
          </w:p>
        </w:tc>
        <w:tc>
          <w:tcPr>
            <w:tcW w:w="2433" w:type="dxa"/>
            <w:vAlign w:val="center"/>
          </w:tcPr>
          <w:p w14:paraId="3EB70A6C" w14:textId="2EEF1560" w:rsidR="003F167C" w:rsidRPr="004F1054" w:rsidRDefault="003F167C" w:rsidP="003F167C">
            <w:pPr>
              <w:tabs>
                <w:tab w:val="decimal" w:pos="1875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0</w:t>
            </w:r>
          </w:p>
        </w:tc>
        <w:tc>
          <w:tcPr>
            <w:tcW w:w="1279" w:type="dxa"/>
            <w:noWrap/>
            <w:vAlign w:val="center"/>
          </w:tcPr>
          <w:p w14:paraId="7E5C3287" w14:textId="43C52F38" w:rsidR="003F167C" w:rsidRPr="00A234AF" w:rsidRDefault="003F167C" w:rsidP="003F167C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/</w:t>
            </w:r>
          </w:p>
        </w:tc>
      </w:tr>
      <w:tr w:rsidR="003F167C" w:rsidRPr="006F2417" w14:paraId="370190FB" w14:textId="77777777" w:rsidTr="00755D6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2" w:type="dxa"/>
            <w:noWrap/>
          </w:tcPr>
          <w:p w14:paraId="01409B01" w14:textId="46200A70" w:rsidR="003F167C" w:rsidRPr="006F2417" w:rsidRDefault="003F167C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Укупни приходи</w:t>
            </w:r>
            <w:r w:rsidRPr="00A234AF">
              <w:rPr>
                <w:rFonts w:ascii="Times New Roman" w:hAnsi="Times New Roman"/>
                <w:color w:val="000000"/>
                <w:sz w:val="22"/>
                <w:szCs w:val="22"/>
                <w:lang w:val="bs-Latn-BA" w:eastAsia="bs-Latn-BA" w:bidi="ar-SA"/>
              </w:rPr>
              <w:t> </w:t>
            </w:r>
          </w:p>
        </w:tc>
        <w:tc>
          <w:tcPr>
            <w:tcW w:w="2551" w:type="dxa"/>
            <w:noWrap/>
            <w:vAlign w:val="bottom"/>
          </w:tcPr>
          <w:p w14:paraId="26871EE0" w14:textId="6010528F" w:rsidR="003F167C" w:rsidRPr="003F167C" w:rsidRDefault="003F167C" w:rsidP="003F167C">
            <w:pPr>
              <w:tabs>
                <w:tab w:val="decimal" w:pos="2014"/>
              </w:tabs>
              <w:spacing w:before="0"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1.791.187</w:t>
            </w:r>
          </w:p>
        </w:tc>
        <w:tc>
          <w:tcPr>
            <w:tcW w:w="2433" w:type="dxa"/>
            <w:vAlign w:val="bottom"/>
          </w:tcPr>
          <w:p w14:paraId="1B721969" w14:textId="2513D540" w:rsidR="003F167C" w:rsidRPr="004F1054" w:rsidRDefault="003F167C" w:rsidP="003F167C">
            <w:pPr>
              <w:tabs>
                <w:tab w:val="decimal" w:pos="1875"/>
              </w:tabs>
              <w:spacing w:before="0"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BA" w:eastAsia="bs-Latn-BA" w:bidi="ar-SA"/>
              </w:rPr>
              <w:t>1.016.352</w:t>
            </w:r>
          </w:p>
        </w:tc>
        <w:tc>
          <w:tcPr>
            <w:tcW w:w="1279" w:type="dxa"/>
            <w:noWrap/>
            <w:vAlign w:val="center"/>
          </w:tcPr>
          <w:p w14:paraId="3FEE60BA" w14:textId="4C9C6F1F" w:rsidR="003F167C" w:rsidRPr="003F167C" w:rsidRDefault="003F167C" w:rsidP="003F167C">
            <w:pPr>
              <w:spacing w:before="0"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bs-Latn-BA" w:bidi="ar-SA"/>
              </w:rPr>
              <w:t>1,76</w:t>
            </w:r>
          </w:p>
        </w:tc>
      </w:tr>
    </w:tbl>
    <w:p w14:paraId="7B9983CC" w14:textId="3634E1CB" w:rsidR="006F2417" w:rsidRPr="006F2417" w:rsidRDefault="006F2417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rPr>
          <w:rFonts w:ascii="Times New Roman" w:hAnsi="Times New Roman"/>
          <w:bCs w:val="0"/>
          <w:sz w:val="24"/>
          <w:szCs w:val="24"/>
          <w:lang w:val="sr-Cyrl-BA"/>
        </w:rPr>
      </w:pPr>
      <w:r w:rsidRPr="006F2417">
        <w:rPr>
          <w:rFonts w:ascii="Times New Roman" w:hAnsi="Times New Roman"/>
          <w:bCs w:val="0"/>
          <w:sz w:val="24"/>
          <w:lang w:val="sr-Cyrl-BA"/>
        </w:rPr>
        <w:t xml:space="preserve">Табела </w: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6F2417">
        <w:rPr>
          <w:rFonts w:ascii="Times New Roman" w:hAnsi="Times New Roman"/>
          <w:bCs w:val="0"/>
          <w:sz w:val="24"/>
          <w:lang w:val="sr-Cyrl-BA"/>
        </w:rPr>
        <w:instrText xml:space="preserve"> SEQ Табела \* ARABIC </w:instrTex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BA5542">
        <w:rPr>
          <w:rFonts w:ascii="Times New Roman" w:hAnsi="Times New Roman"/>
          <w:bCs w:val="0"/>
          <w:noProof/>
          <w:sz w:val="24"/>
          <w:lang w:val="sr-Cyrl-BA"/>
        </w:rPr>
        <w:t>1</w: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6F2417">
        <w:rPr>
          <w:rFonts w:ascii="Times New Roman" w:hAnsi="Times New Roman"/>
          <w:bCs w:val="0"/>
          <w:sz w:val="24"/>
          <w:lang w:val="sr-Cyrl-BA"/>
        </w:rPr>
        <w:t>.</w:t>
      </w:r>
      <w:r w:rsidRPr="006F2417">
        <w:rPr>
          <w:rFonts w:ascii="Times New Roman" w:hAnsi="Times New Roman"/>
          <w:bCs w:val="0"/>
          <w:sz w:val="24"/>
          <w:lang w:val="sr-Cyrl-BA"/>
        </w:rPr>
        <w:tab/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Приходи Комисије у периоду </w:t>
      </w:r>
      <w:r w:rsidR="00755D68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од</w:t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01.01</w:t>
      </w:r>
      <w:r w:rsidR="00755D68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.</w:t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</w:t>
      </w:r>
      <w:r w:rsidR="00755D68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до</w:t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31.12. 20</w:t>
      </w:r>
      <w:r w:rsidR="00416A3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3F167C">
        <w:rPr>
          <w:rFonts w:ascii="Times New Roman" w:hAnsi="Times New Roman"/>
          <w:b w:val="0"/>
          <w:color w:val="auto"/>
          <w:sz w:val="24"/>
          <w:szCs w:val="24"/>
        </w:rPr>
        <w:t>3</w:t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. и 20</w:t>
      </w:r>
      <w:r w:rsidR="0090274C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3F167C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4</w:t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.</w:t>
      </w:r>
      <w:r w:rsidRPr="006F2417">
        <w:rPr>
          <w:rFonts w:ascii="Times New Roman" w:hAnsi="Times New Roman"/>
          <w:color w:val="auto"/>
          <w:sz w:val="24"/>
          <w:szCs w:val="24"/>
          <w:lang w:val="sr-Cyrl-BA"/>
        </w:rPr>
        <w:t xml:space="preserve"> </w:t>
      </w:r>
      <w:r w:rsidRPr="006F2417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године</w:t>
      </w:r>
      <w:r w:rsidRPr="006F2417">
        <w:rPr>
          <w:rStyle w:val="FootnoteReference"/>
          <w:rFonts w:ascii="Times New Roman" w:hAnsi="Times New Roman"/>
          <w:b w:val="0"/>
          <w:color w:val="auto"/>
          <w:sz w:val="24"/>
          <w:szCs w:val="24"/>
          <w:lang w:val="sr-Cyrl-BA"/>
        </w:rPr>
        <w:footnoteReference w:id="2"/>
      </w:r>
    </w:p>
    <w:p w14:paraId="4B622EA2" w14:textId="36911E7F" w:rsidR="00574594" w:rsidRDefault="00F9581D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sr-Latn-BA"/>
        </w:rPr>
      </w:pPr>
      <w:r w:rsidRPr="001F4EB5">
        <w:rPr>
          <w:rFonts w:ascii="Times New Roman" w:hAnsi="Times New Roman"/>
          <w:bCs/>
          <w:sz w:val="24"/>
          <w:szCs w:val="24"/>
          <w:lang w:val="sr-Cyrl-BA"/>
        </w:rPr>
        <w:t xml:space="preserve">Најзначајнији приходи остварени су по основу </w:t>
      </w:r>
      <w:r w:rsidR="00B0730D" w:rsidRPr="001F4EB5">
        <w:rPr>
          <w:rFonts w:ascii="Times New Roman" w:hAnsi="Times New Roman"/>
          <w:bCs/>
          <w:sz w:val="24"/>
          <w:szCs w:val="24"/>
          <w:lang w:val="sr-Cyrl-BA"/>
        </w:rPr>
        <w:t>накнада за емисију</w:t>
      </w:r>
      <w:r w:rsidR="00B0730D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B0730D" w:rsidRPr="001F4EB5">
        <w:rPr>
          <w:rFonts w:ascii="Times New Roman" w:hAnsi="Times New Roman"/>
          <w:bCs/>
          <w:sz w:val="24"/>
          <w:szCs w:val="24"/>
          <w:lang w:val="sr-Cyrl-BA"/>
        </w:rPr>
        <w:t xml:space="preserve">провођења </w:t>
      </w:r>
      <w:r w:rsidRPr="001F4EB5">
        <w:rPr>
          <w:rFonts w:ascii="Times New Roman" w:hAnsi="Times New Roman"/>
          <w:bCs/>
          <w:sz w:val="24"/>
          <w:szCs w:val="24"/>
          <w:lang w:val="sr-Cyrl-BA"/>
        </w:rPr>
        <w:t xml:space="preserve">надзора над овлашћеним учесницима на тржишту хартија од вриједности, </w:t>
      </w:r>
      <w:r w:rsidR="00B35336">
        <w:rPr>
          <w:rFonts w:ascii="Times New Roman" w:hAnsi="Times New Roman"/>
          <w:bCs/>
          <w:sz w:val="24"/>
          <w:szCs w:val="24"/>
          <w:lang w:val="sr-Cyrl-BA"/>
        </w:rPr>
        <w:t xml:space="preserve">накнада везаних за преузимање акционарских друштава, </w:t>
      </w:r>
      <w:r w:rsidRPr="001F4EB5">
        <w:rPr>
          <w:rFonts w:ascii="Times New Roman" w:hAnsi="Times New Roman"/>
          <w:bCs/>
          <w:sz w:val="24"/>
          <w:szCs w:val="24"/>
          <w:lang w:val="sr-Cyrl-BA"/>
        </w:rPr>
        <w:t>као и од накнада за оснивање и рад ДУИФ и ИФ</w:t>
      </w:r>
      <w:r w:rsidR="00636496" w:rsidRPr="006F2417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="00B35336">
        <w:rPr>
          <w:rFonts w:ascii="Times New Roman" w:hAnsi="Times New Roman"/>
          <w:bCs/>
          <w:sz w:val="24"/>
          <w:szCs w:val="24"/>
          <w:lang w:val="sr-Cyrl-BA"/>
        </w:rPr>
        <w:t>Остварени приходи Комисије у 202</w:t>
      </w:r>
      <w:r w:rsidR="00B0730D">
        <w:rPr>
          <w:rFonts w:ascii="Times New Roman" w:hAnsi="Times New Roman"/>
          <w:bCs/>
          <w:sz w:val="24"/>
          <w:szCs w:val="24"/>
        </w:rPr>
        <w:t>4</w:t>
      </w:r>
      <w:r w:rsidR="00B35336">
        <w:rPr>
          <w:rFonts w:ascii="Times New Roman" w:hAnsi="Times New Roman"/>
          <w:bCs/>
          <w:sz w:val="24"/>
          <w:szCs w:val="24"/>
          <w:lang w:val="sr-Cyrl-BA"/>
        </w:rPr>
        <w:t>. годин</w:t>
      </w:r>
      <w:r w:rsidR="00B0730D">
        <w:rPr>
          <w:rFonts w:ascii="Times New Roman" w:hAnsi="Times New Roman"/>
          <w:bCs/>
          <w:sz w:val="24"/>
          <w:szCs w:val="24"/>
        </w:rPr>
        <w:t>e</w:t>
      </w:r>
      <w:r w:rsidR="00B0730D">
        <w:rPr>
          <w:rFonts w:ascii="Times New Roman" w:hAnsi="Times New Roman"/>
          <w:bCs/>
          <w:sz w:val="24"/>
          <w:szCs w:val="24"/>
          <w:lang w:val="sr-Cyrl-BA"/>
        </w:rPr>
        <w:t xml:space="preserve"> у односу на 2023. годину имали су раст од 76%.</w:t>
      </w:r>
      <w:r w:rsidR="00B35336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</w:p>
    <w:tbl>
      <w:tblPr>
        <w:tblStyle w:val="LightGrid-Accent1"/>
        <w:tblW w:w="9377" w:type="dxa"/>
        <w:jc w:val="center"/>
        <w:tblLayout w:type="fixed"/>
        <w:tblLook w:val="0460" w:firstRow="1" w:lastRow="1" w:firstColumn="0" w:lastColumn="0" w:noHBand="0" w:noVBand="1"/>
      </w:tblPr>
      <w:tblGrid>
        <w:gridCol w:w="5183"/>
        <w:gridCol w:w="1418"/>
        <w:gridCol w:w="1417"/>
        <w:gridCol w:w="1359"/>
      </w:tblGrid>
      <w:tr w:rsidR="005A1290" w:rsidRPr="006F2417" w14:paraId="225E4BBB" w14:textId="77777777" w:rsidTr="00F24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10A3CAB5" w14:textId="217162FB" w:rsidR="005A1290" w:rsidRPr="005A1290" w:rsidRDefault="005A1290" w:rsidP="005A1290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ПРИХОДИ </w:t>
            </w:r>
          </w:p>
        </w:tc>
        <w:tc>
          <w:tcPr>
            <w:tcW w:w="1418" w:type="dxa"/>
            <w:noWrap/>
            <w:hideMark/>
          </w:tcPr>
          <w:p w14:paraId="76A42AA9" w14:textId="70779EE1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Остварење 202</w:t>
            </w:r>
            <w:r w:rsidR="00491DB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. </w:t>
            </w:r>
          </w:p>
        </w:tc>
        <w:tc>
          <w:tcPr>
            <w:tcW w:w="1417" w:type="dxa"/>
            <w:noWrap/>
            <w:hideMark/>
          </w:tcPr>
          <w:p w14:paraId="13059C58" w14:textId="59E301E7" w:rsidR="005A1290" w:rsidRPr="005A1290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Остварење 202</w:t>
            </w:r>
            <w:r w:rsidR="003F167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. </w:t>
            </w:r>
          </w:p>
        </w:tc>
        <w:tc>
          <w:tcPr>
            <w:tcW w:w="1359" w:type="dxa"/>
            <w:noWrap/>
            <w:hideMark/>
          </w:tcPr>
          <w:p w14:paraId="43941108" w14:textId="1AB9402B" w:rsidR="005A1290" w:rsidRPr="003F167C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Остварено 202</w:t>
            </w:r>
            <w:r w:rsidR="003F167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/202</w:t>
            </w:r>
            <w:r w:rsidR="003F167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F167C" w:rsidRPr="006F2417" w14:paraId="7FB0685F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168C0706" w14:textId="7CDC826D" w:rsidR="003F167C" w:rsidRPr="005A1290" w:rsidRDefault="003F167C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испита</w:t>
            </w:r>
          </w:p>
        </w:tc>
        <w:tc>
          <w:tcPr>
            <w:tcW w:w="1418" w:type="dxa"/>
            <w:noWrap/>
            <w:vAlign w:val="center"/>
          </w:tcPr>
          <w:p w14:paraId="14F62C9A" w14:textId="33299389" w:rsidR="003F167C" w:rsidRPr="003F167C" w:rsidRDefault="003F167C" w:rsidP="003F167C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4319C4FF" w14:textId="3712FEC9" w:rsidR="003F167C" w:rsidRPr="005A1290" w:rsidRDefault="003F167C" w:rsidP="003F167C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1.300</w:t>
            </w:r>
          </w:p>
        </w:tc>
        <w:tc>
          <w:tcPr>
            <w:tcW w:w="1359" w:type="dxa"/>
            <w:noWrap/>
            <w:vAlign w:val="center"/>
          </w:tcPr>
          <w:p w14:paraId="4EA73531" w14:textId="12BC9C6D" w:rsidR="003F167C" w:rsidRPr="003F167C" w:rsidRDefault="003F167C" w:rsidP="003F167C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</w:tr>
      <w:tr w:rsidR="00800E69" w:rsidRPr="006F2417" w14:paraId="7BF108DA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2DA100F8" w14:textId="72324D4A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емисију</w:t>
            </w:r>
          </w:p>
        </w:tc>
        <w:tc>
          <w:tcPr>
            <w:tcW w:w="1418" w:type="dxa"/>
            <w:noWrap/>
            <w:vAlign w:val="center"/>
          </w:tcPr>
          <w:p w14:paraId="14AEF8B2" w14:textId="0A287D44" w:rsidR="00800E69" w:rsidRPr="003F167C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/>
                <w:sz w:val="22"/>
                <w:szCs w:val="22"/>
                <w:lang w:val="sr-Cyrl-BA"/>
              </w:rPr>
              <w:t>964.708</w:t>
            </w:r>
          </w:p>
        </w:tc>
        <w:tc>
          <w:tcPr>
            <w:tcW w:w="1417" w:type="dxa"/>
            <w:noWrap/>
            <w:vAlign w:val="center"/>
          </w:tcPr>
          <w:p w14:paraId="17878CE6" w14:textId="6EC52442" w:rsidR="00800E69" w:rsidRPr="005A1290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85.262</w:t>
            </w:r>
          </w:p>
        </w:tc>
        <w:tc>
          <w:tcPr>
            <w:tcW w:w="1359" w:type="dxa"/>
            <w:noWrap/>
            <w:vAlign w:val="center"/>
          </w:tcPr>
          <w:p w14:paraId="46350AED" w14:textId="30CC21E7" w:rsidR="00800E69" w:rsidRPr="003F167C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11,31</w:t>
            </w:r>
          </w:p>
        </w:tc>
      </w:tr>
      <w:tr w:rsidR="00800E69" w:rsidRPr="006F2417" w14:paraId="27629043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68ED7C78" w14:textId="6790AB05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надзора</w:t>
            </w:r>
          </w:p>
        </w:tc>
        <w:tc>
          <w:tcPr>
            <w:tcW w:w="1418" w:type="dxa"/>
            <w:noWrap/>
            <w:vAlign w:val="center"/>
          </w:tcPr>
          <w:p w14:paraId="79CCE95F" w14:textId="776FA4FA" w:rsidR="00800E69" w:rsidRPr="003F167C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/>
                <w:sz w:val="22"/>
                <w:szCs w:val="22"/>
                <w:lang w:val="sr-Cyrl-BA"/>
              </w:rPr>
              <w:t>570.193</w:t>
            </w:r>
          </w:p>
        </w:tc>
        <w:tc>
          <w:tcPr>
            <w:tcW w:w="1417" w:type="dxa"/>
            <w:noWrap/>
            <w:vAlign w:val="center"/>
          </w:tcPr>
          <w:p w14:paraId="4521E34A" w14:textId="1C0CDD82" w:rsidR="00800E69" w:rsidRPr="005A1290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605.846</w:t>
            </w:r>
          </w:p>
        </w:tc>
        <w:tc>
          <w:tcPr>
            <w:tcW w:w="1359" w:type="dxa"/>
            <w:noWrap/>
            <w:vAlign w:val="center"/>
          </w:tcPr>
          <w:p w14:paraId="40195870" w14:textId="223D6B65" w:rsidR="00800E69" w:rsidRPr="003F167C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0,94</w:t>
            </w:r>
          </w:p>
        </w:tc>
      </w:tr>
      <w:tr w:rsidR="00800E69" w:rsidRPr="006F2417" w14:paraId="4D2B39AC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0B453070" w14:textId="1FE03D91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оснивање и рад овлаштених учесника</w:t>
            </w:r>
          </w:p>
        </w:tc>
        <w:tc>
          <w:tcPr>
            <w:tcW w:w="1418" w:type="dxa"/>
            <w:noWrap/>
            <w:vAlign w:val="center"/>
          </w:tcPr>
          <w:p w14:paraId="785FE0D9" w14:textId="085E5BCA" w:rsidR="00800E69" w:rsidRPr="003F167C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/>
                <w:sz w:val="22"/>
                <w:szCs w:val="22"/>
                <w:lang w:val="sr-Cyrl-BA"/>
              </w:rPr>
              <w:t>55.300</w:t>
            </w:r>
          </w:p>
        </w:tc>
        <w:tc>
          <w:tcPr>
            <w:tcW w:w="1417" w:type="dxa"/>
            <w:noWrap/>
            <w:vAlign w:val="center"/>
          </w:tcPr>
          <w:p w14:paraId="1141CC76" w14:textId="349A7C80" w:rsidR="00800E69" w:rsidRPr="005A1290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33.000</w:t>
            </w:r>
          </w:p>
        </w:tc>
        <w:tc>
          <w:tcPr>
            <w:tcW w:w="1359" w:type="dxa"/>
            <w:noWrap/>
            <w:vAlign w:val="center"/>
          </w:tcPr>
          <w:p w14:paraId="244D8670" w14:textId="294DB851" w:rsidR="00800E69" w:rsidRPr="003F167C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1,68</w:t>
            </w:r>
          </w:p>
        </w:tc>
      </w:tr>
      <w:tr w:rsidR="00800E69" w:rsidRPr="006F2417" w14:paraId="5E84EFAB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0E50642A" w14:textId="58C66EBC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оснивање и рад ДУИФ и ИФ</w:t>
            </w:r>
          </w:p>
        </w:tc>
        <w:tc>
          <w:tcPr>
            <w:tcW w:w="1418" w:type="dxa"/>
            <w:noWrap/>
            <w:vAlign w:val="center"/>
          </w:tcPr>
          <w:p w14:paraId="3D1F4938" w14:textId="7CBE5EFE" w:rsidR="00800E69" w:rsidRPr="003F167C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/>
                <w:sz w:val="22"/>
                <w:szCs w:val="22"/>
                <w:lang w:val="sr-Cyrl-BA"/>
              </w:rPr>
              <w:t>51.000</w:t>
            </w:r>
          </w:p>
        </w:tc>
        <w:tc>
          <w:tcPr>
            <w:tcW w:w="1417" w:type="dxa"/>
            <w:noWrap/>
            <w:vAlign w:val="center"/>
          </w:tcPr>
          <w:p w14:paraId="7448B864" w14:textId="25A6FDCA" w:rsidR="00800E69" w:rsidRPr="005A1290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30.900</w:t>
            </w:r>
          </w:p>
        </w:tc>
        <w:tc>
          <w:tcPr>
            <w:tcW w:w="1359" w:type="dxa"/>
            <w:noWrap/>
            <w:vAlign w:val="center"/>
          </w:tcPr>
          <w:p w14:paraId="24D6C65F" w14:textId="25A4BEDD" w:rsidR="00800E69" w:rsidRPr="003F167C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1,65</w:t>
            </w:r>
          </w:p>
        </w:tc>
      </w:tr>
      <w:tr w:rsidR="00800E69" w:rsidRPr="006F2417" w14:paraId="4E9EF226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2CEB6610" w14:textId="6C5371E6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преузимање</w:t>
            </w:r>
          </w:p>
        </w:tc>
        <w:tc>
          <w:tcPr>
            <w:tcW w:w="1418" w:type="dxa"/>
            <w:noWrap/>
            <w:vAlign w:val="center"/>
          </w:tcPr>
          <w:p w14:paraId="5DB73FB7" w14:textId="303194C3" w:rsidR="00800E69" w:rsidRPr="003F167C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/>
                <w:sz w:val="22"/>
                <w:szCs w:val="22"/>
                <w:lang w:val="sr-Cyrl-BA"/>
              </w:rPr>
              <w:t>106.506</w:t>
            </w:r>
          </w:p>
        </w:tc>
        <w:tc>
          <w:tcPr>
            <w:tcW w:w="1417" w:type="dxa"/>
            <w:noWrap/>
            <w:vAlign w:val="center"/>
          </w:tcPr>
          <w:p w14:paraId="5A142965" w14:textId="1262E635" w:rsidR="00800E69" w:rsidRPr="005A1290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218.391</w:t>
            </w:r>
          </w:p>
        </w:tc>
        <w:tc>
          <w:tcPr>
            <w:tcW w:w="1359" w:type="dxa"/>
            <w:noWrap/>
            <w:vAlign w:val="center"/>
          </w:tcPr>
          <w:p w14:paraId="5284E055" w14:textId="3C3AEA0B" w:rsidR="00800E69" w:rsidRPr="003F167C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0,49</w:t>
            </w:r>
          </w:p>
        </w:tc>
      </w:tr>
      <w:tr w:rsidR="00800E69" w:rsidRPr="006F2417" w14:paraId="0C678C0F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42BC6A68" w14:textId="2E0390B2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накнада за РЕ</w:t>
            </w:r>
          </w:p>
        </w:tc>
        <w:tc>
          <w:tcPr>
            <w:tcW w:w="1418" w:type="dxa"/>
            <w:noWrap/>
            <w:vAlign w:val="center"/>
          </w:tcPr>
          <w:p w14:paraId="514AE003" w14:textId="114A710E" w:rsidR="00800E69" w:rsidRPr="003F167C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/>
                <w:sz w:val="22"/>
                <w:szCs w:val="22"/>
                <w:lang w:val="sr-Cyrl-BA"/>
              </w:rPr>
              <w:t>8.400</w:t>
            </w:r>
          </w:p>
        </w:tc>
        <w:tc>
          <w:tcPr>
            <w:tcW w:w="1417" w:type="dxa"/>
            <w:noWrap/>
            <w:vAlign w:val="center"/>
          </w:tcPr>
          <w:p w14:paraId="4080B0D3" w14:textId="77263F17" w:rsidR="00800E69" w:rsidRPr="005A1290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12.500</w:t>
            </w:r>
          </w:p>
        </w:tc>
        <w:tc>
          <w:tcPr>
            <w:tcW w:w="1359" w:type="dxa"/>
            <w:noWrap/>
            <w:vAlign w:val="center"/>
          </w:tcPr>
          <w:p w14:paraId="240C7169" w14:textId="3B3185F5" w:rsidR="00800E69" w:rsidRPr="003F167C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0,67</w:t>
            </w:r>
          </w:p>
        </w:tc>
      </w:tr>
      <w:tr w:rsidR="00800E69" w:rsidRPr="006F2417" w14:paraId="1C5158D3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7B74D6CA" w14:textId="37E093E7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камата</w:t>
            </w:r>
          </w:p>
        </w:tc>
        <w:tc>
          <w:tcPr>
            <w:tcW w:w="1418" w:type="dxa"/>
            <w:noWrap/>
            <w:vAlign w:val="center"/>
          </w:tcPr>
          <w:p w14:paraId="4C60FE31" w14:textId="7B9E647A" w:rsidR="00800E69" w:rsidRPr="003F167C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/>
                <w:sz w:val="22"/>
                <w:szCs w:val="22"/>
                <w:lang w:val="sr-Cyrl-BA"/>
              </w:rPr>
              <w:t>16.610</w:t>
            </w:r>
          </w:p>
        </w:tc>
        <w:tc>
          <w:tcPr>
            <w:tcW w:w="1417" w:type="dxa"/>
            <w:noWrap/>
            <w:vAlign w:val="center"/>
          </w:tcPr>
          <w:p w14:paraId="40046C8D" w14:textId="114F4C45" w:rsidR="00800E69" w:rsidRPr="005A1290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5.374</w:t>
            </w:r>
          </w:p>
        </w:tc>
        <w:tc>
          <w:tcPr>
            <w:tcW w:w="1359" w:type="dxa"/>
            <w:noWrap/>
            <w:vAlign w:val="center"/>
          </w:tcPr>
          <w:p w14:paraId="04C53365" w14:textId="75ECD94C" w:rsidR="00800E69" w:rsidRPr="003F167C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3,09</w:t>
            </w:r>
          </w:p>
        </w:tc>
      </w:tr>
      <w:tr w:rsidR="00800E69" w:rsidRPr="006F2417" w14:paraId="1A7016A1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77C953CA" w14:textId="2D2806F2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Приходи од промјене правне форме</w:t>
            </w:r>
          </w:p>
        </w:tc>
        <w:tc>
          <w:tcPr>
            <w:tcW w:w="1418" w:type="dxa"/>
            <w:noWrap/>
            <w:vAlign w:val="center"/>
          </w:tcPr>
          <w:p w14:paraId="01A074FB" w14:textId="37137EC5" w:rsidR="00800E69" w:rsidRPr="003F167C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/>
                <w:sz w:val="22"/>
                <w:szCs w:val="22"/>
                <w:lang w:val="sr-Cyrl-BA"/>
              </w:rPr>
              <w:t>15.000</w:t>
            </w:r>
          </w:p>
        </w:tc>
        <w:tc>
          <w:tcPr>
            <w:tcW w:w="1417" w:type="dxa"/>
            <w:noWrap/>
            <w:vAlign w:val="center"/>
          </w:tcPr>
          <w:p w14:paraId="03B479C2" w14:textId="2A2DB0BC" w:rsidR="00800E69" w:rsidRPr="005A1290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21.000</w:t>
            </w:r>
          </w:p>
        </w:tc>
        <w:tc>
          <w:tcPr>
            <w:tcW w:w="1359" w:type="dxa"/>
            <w:noWrap/>
            <w:vAlign w:val="center"/>
          </w:tcPr>
          <w:p w14:paraId="3DAFC046" w14:textId="1A593BE3" w:rsidR="00800E69" w:rsidRPr="003F167C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0,71</w:t>
            </w:r>
          </w:p>
        </w:tc>
      </w:tr>
      <w:tr w:rsidR="00800E69" w:rsidRPr="006F2417" w14:paraId="3444D24D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5920E6DE" w14:textId="20E4DE25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Остали приходи у складу са Тарифом накнада (упити..)</w:t>
            </w:r>
          </w:p>
        </w:tc>
        <w:tc>
          <w:tcPr>
            <w:tcW w:w="1418" w:type="dxa"/>
            <w:noWrap/>
            <w:vAlign w:val="center"/>
          </w:tcPr>
          <w:p w14:paraId="5E45BE52" w14:textId="670602ED" w:rsidR="00800E69" w:rsidRPr="003F167C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/>
                <w:sz w:val="22"/>
                <w:szCs w:val="22"/>
                <w:lang w:val="sr-Cyrl-BA"/>
              </w:rPr>
              <w:t>3.470</w:t>
            </w:r>
          </w:p>
        </w:tc>
        <w:tc>
          <w:tcPr>
            <w:tcW w:w="1417" w:type="dxa"/>
            <w:noWrap/>
            <w:vAlign w:val="center"/>
          </w:tcPr>
          <w:p w14:paraId="34A32A4E" w14:textId="35E1E295" w:rsidR="00800E69" w:rsidRPr="005A1290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/>
                <w:sz w:val="22"/>
                <w:szCs w:val="22"/>
                <w:lang w:val="sr-Cyrl-BA"/>
              </w:rPr>
              <w:t>2.780</w:t>
            </w:r>
          </w:p>
        </w:tc>
        <w:tc>
          <w:tcPr>
            <w:tcW w:w="1359" w:type="dxa"/>
            <w:noWrap/>
            <w:vAlign w:val="center"/>
          </w:tcPr>
          <w:p w14:paraId="729AB5FE" w14:textId="6C5B2FEE" w:rsidR="00800E69" w:rsidRPr="003F167C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3F167C">
              <w:rPr>
                <w:rFonts w:ascii="Times New Roman" w:hAnsi="Times New Roman"/>
                <w:sz w:val="22"/>
                <w:szCs w:val="22"/>
                <w:lang w:val="sr-Cyrl-BA"/>
              </w:rPr>
              <w:t>1,25</w:t>
            </w:r>
          </w:p>
        </w:tc>
      </w:tr>
      <w:tr w:rsidR="00800E69" w:rsidRPr="006F2417" w14:paraId="5CA5741A" w14:textId="77777777" w:rsidTr="00F24C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</w:tcPr>
          <w:p w14:paraId="67F9325D" w14:textId="38C93114" w:rsidR="00800E69" w:rsidRPr="005A1290" w:rsidRDefault="00800E69" w:rsidP="00800E69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Укупнои приходи </w:t>
            </w:r>
          </w:p>
        </w:tc>
        <w:tc>
          <w:tcPr>
            <w:tcW w:w="1418" w:type="dxa"/>
            <w:noWrap/>
            <w:vAlign w:val="center"/>
          </w:tcPr>
          <w:p w14:paraId="5E0E138B" w14:textId="7EB8ED35" w:rsidR="00800E69" w:rsidRPr="00800E69" w:rsidRDefault="00800E69" w:rsidP="00800E69">
            <w:pPr>
              <w:tabs>
                <w:tab w:val="decimal" w:pos="965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sr-Cyrl-BA"/>
              </w:rPr>
            </w:pPr>
            <w:r w:rsidRPr="00800E69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1.791.187</w:t>
            </w:r>
          </w:p>
        </w:tc>
        <w:tc>
          <w:tcPr>
            <w:tcW w:w="1417" w:type="dxa"/>
            <w:noWrap/>
            <w:vAlign w:val="center"/>
          </w:tcPr>
          <w:p w14:paraId="5D109BB4" w14:textId="35BE3024" w:rsidR="00800E69" w:rsidRPr="005A1290" w:rsidRDefault="00800E69" w:rsidP="00800E69">
            <w:pPr>
              <w:tabs>
                <w:tab w:val="decimal" w:pos="965"/>
              </w:tabs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BA" w:bidi="ar-SA"/>
              </w:rPr>
            </w:pPr>
            <w:r w:rsidRPr="005A129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1.016.352</w:t>
            </w:r>
          </w:p>
        </w:tc>
        <w:tc>
          <w:tcPr>
            <w:tcW w:w="1359" w:type="dxa"/>
            <w:noWrap/>
            <w:vAlign w:val="center"/>
          </w:tcPr>
          <w:p w14:paraId="61322AEB" w14:textId="014AADB5" w:rsidR="00800E69" w:rsidRPr="005A1290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BA" w:bidi="ar-SA"/>
              </w:rPr>
            </w:pPr>
            <w:r w:rsidRPr="003F167C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1,76</w:t>
            </w:r>
          </w:p>
        </w:tc>
      </w:tr>
    </w:tbl>
    <w:p w14:paraId="17D164AD" w14:textId="1933DF5F" w:rsidR="00BD07C5" w:rsidRPr="006F2417" w:rsidRDefault="006F2417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rPr>
          <w:rFonts w:ascii="Times New Roman" w:hAnsi="Times New Roman"/>
          <w:b w:val="0"/>
          <w:bCs w:val="0"/>
          <w:color w:val="auto"/>
          <w:sz w:val="24"/>
          <w:lang w:val="sr-Cyrl-BA"/>
        </w:rPr>
      </w:pPr>
      <w:r w:rsidRPr="006F2417">
        <w:rPr>
          <w:rFonts w:ascii="Times New Roman" w:hAnsi="Times New Roman"/>
          <w:bCs w:val="0"/>
          <w:sz w:val="24"/>
          <w:lang w:val="sr-Cyrl-BA"/>
        </w:rPr>
        <w:t xml:space="preserve">Табела </w: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6F2417">
        <w:rPr>
          <w:rFonts w:ascii="Times New Roman" w:hAnsi="Times New Roman"/>
          <w:bCs w:val="0"/>
          <w:sz w:val="24"/>
          <w:lang w:val="sr-Cyrl-BA"/>
        </w:rPr>
        <w:instrText xml:space="preserve"> SEQ Табела \* ARABIC </w:instrTex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BA5542">
        <w:rPr>
          <w:rFonts w:ascii="Times New Roman" w:hAnsi="Times New Roman"/>
          <w:bCs w:val="0"/>
          <w:noProof/>
          <w:sz w:val="24"/>
          <w:lang w:val="sr-Cyrl-BA"/>
        </w:rPr>
        <w:t>2</w:t>
      </w:r>
      <w:r w:rsidRPr="006F2417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6F2417">
        <w:rPr>
          <w:rFonts w:ascii="Times New Roman" w:hAnsi="Times New Roman"/>
          <w:bCs w:val="0"/>
          <w:sz w:val="24"/>
          <w:lang w:val="sr-Cyrl-BA"/>
        </w:rPr>
        <w:t>.</w:t>
      </w:r>
      <w:r w:rsidRPr="006F2417">
        <w:rPr>
          <w:rFonts w:ascii="Times New Roman" w:hAnsi="Times New Roman"/>
          <w:bCs w:val="0"/>
          <w:sz w:val="24"/>
          <w:lang w:val="sr-Cyrl-BA"/>
        </w:rPr>
        <w:tab/>
      </w:r>
      <w:r w:rsidRPr="006F2417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 xml:space="preserve">Структура прихода Комисије у </w:t>
      </w:r>
      <w:r w:rsidR="00464B59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2023. i </w:t>
      </w:r>
      <w:r w:rsidRPr="006F2417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202</w:t>
      </w:r>
      <w:r w:rsidR="003F167C">
        <w:rPr>
          <w:rFonts w:ascii="Times New Roman" w:hAnsi="Times New Roman"/>
          <w:b w:val="0"/>
          <w:bCs w:val="0"/>
          <w:color w:val="auto"/>
          <w:sz w:val="24"/>
        </w:rPr>
        <w:t>4</w:t>
      </w:r>
      <w:r w:rsidRPr="006F2417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. годин</w:t>
      </w:r>
      <w:r w:rsidR="00F24C4A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и</w:t>
      </w:r>
    </w:p>
    <w:p w14:paraId="564794AB" w14:textId="45A9E240" w:rsidR="00D77190" w:rsidRPr="00D77190" w:rsidRDefault="0067070D" w:rsidP="005556B2">
      <w:pPr>
        <w:spacing w:after="120" w:line="240" w:lineRule="auto"/>
        <w:ind w:left="-709"/>
        <w:rPr>
          <w:rFonts w:ascii="Times New Roman" w:hAnsi="Times New Roman"/>
          <w:bCs/>
          <w:sz w:val="24"/>
          <w:lang w:val="sr-Cyrl-BA"/>
        </w:rPr>
      </w:pPr>
      <w:r>
        <w:rPr>
          <w:noProof/>
        </w:rPr>
        <w:lastRenderedPageBreak/>
        <w:drawing>
          <wp:inline distT="0" distB="0" distL="0" distR="0" wp14:anchorId="215991D6" wp14:editId="62CAE672">
            <wp:extent cx="6550429" cy="3291205"/>
            <wp:effectExtent l="0" t="0" r="3175" b="4445"/>
            <wp:docPr id="6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AB196EC3-7910-427A-A1AA-4D2363786B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998ABC7" w14:textId="28A46E45" w:rsidR="003172AF" w:rsidRDefault="006F2417" w:rsidP="00D77190">
      <w:pPr>
        <w:pStyle w:val="Caption"/>
        <w:tabs>
          <w:tab w:val="left" w:pos="1134"/>
        </w:tabs>
        <w:spacing w:before="120" w:after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  <w:lang w:val="sr-Cyrl-BA"/>
        </w:rPr>
      </w:pPr>
      <w:r>
        <w:rPr>
          <w:rFonts w:ascii="Times New Roman" w:hAnsi="Times New Roman"/>
          <w:bCs w:val="0"/>
          <w:sz w:val="24"/>
          <w:lang w:val="sr-Cyrl-BA"/>
        </w:rPr>
        <w:t>Слика</w:t>
      </w:r>
      <w:r w:rsidRPr="000625EB">
        <w:rPr>
          <w:rFonts w:ascii="Times New Roman" w:hAnsi="Times New Roman"/>
          <w:bCs w:val="0"/>
          <w:sz w:val="24"/>
          <w:lang w:val="sr-Cyrl-BA"/>
        </w:rPr>
        <w:t xml:space="preserve"> 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0625EB">
        <w:rPr>
          <w:rFonts w:ascii="Times New Roman" w:hAnsi="Times New Roman"/>
          <w:bCs w:val="0"/>
          <w:sz w:val="24"/>
          <w:lang w:val="sr-Cyrl-BA"/>
        </w:rPr>
        <w:instrText xml:space="preserve"> SEQ Графикон \* ARABIC </w:instrTex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BA5542">
        <w:rPr>
          <w:rFonts w:ascii="Times New Roman" w:hAnsi="Times New Roman"/>
          <w:bCs w:val="0"/>
          <w:noProof/>
          <w:sz w:val="24"/>
          <w:lang w:val="sr-Cyrl-BA"/>
        </w:rPr>
        <w:t>1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0625EB">
        <w:rPr>
          <w:rFonts w:ascii="Times New Roman" w:hAnsi="Times New Roman"/>
          <w:bCs w:val="0"/>
          <w:sz w:val="24"/>
          <w:lang w:val="sr-Cyrl-BA"/>
        </w:rPr>
        <w:t>.</w:t>
      </w:r>
      <w:r>
        <w:rPr>
          <w:rFonts w:ascii="Times New Roman" w:hAnsi="Times New Roman"/>
          <w:bCs w:val="0"/>
          <w:sz w:val="24"/>
          <w:lang w:val="sr-Latn-BA"/>
        </w:rPr>
        <w:t xml:space="preserve"> </w:t>
      </w:r>
      <w:r>
        <w:rPr>
          <w:rFonts w:ascii="Times New Roman" w:hAnsi="Times New Roman"/>
          <w:bCs w:val="0"/>
          <w:sz w:val="24"/>
          <w:lang w:val="sr-Latn-BA"/>
        </w:rPr>
        <w:tab/>
      </w:r>
      <w:r w:rsidRPr="000625EB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Структура прихода Комисије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у</w:t>
      </w:r>
      <w:r w:rsidRPr="000625EB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20</w:t>
      </w:r>
      <w:r w:rsidR="00416A3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3F167C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и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90274C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3F167C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4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Pr="00EF2AAF">
        <w:rPr>
          <w:rFonts w:ascii="Times New Roman" w:hAnsi="Times New Roman"/>
          <w:color w:val="auto"/>
          <w:sz w:val="24"/>
          <w:szCs w:val="24"/>
          <w:lang w:val="sr-Cyrl-BA"/>
        </w:rPr>
        <w:t xml:space="preserve"> 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годин</w:t>
      </w:r>
      <w:r w:rsidR="00D00629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и</w:t>
      </w:r>
    </w:p>
    <w:p w14:paraId="5EB3372B" w14:textId="77777777" w:rsidR="0029793D" w:rsidRPr="0029793D" w:rsidRDefault="0029793D" w:rsidP="0029793D">
      <w:pPr>
        <w:rPr>
          <w:lang w:val="sr-Cyrl-BA"/>
        </w:rPr>
      </w:pPr>
    </w:p>
    <w:p w14:paraId="1102A213" w14:textId="77777777" w:rsidR="006E6A02" w:rsidRPr="004C6172" w:rsidRDefault="006E6A0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Cyrl-BA"/>
        </w:rPr>
      </w:pPr>
      <w:r w:rsidRPr="004C6172">
        <w:rPr>
          <w:rFonts w:ascii="Times New Roman" w:hAnsi="Times New Roman"/>
          <w:color w:val="365F91" w:themeColor="accent1" w:themeShade="BF"/>
          <w:sz w:val="28"/>
          <w:lang w:val="sr-Cyrl-BA"/>
        </w:rPr>
        <w:t>РАСХОДИ КОМИСИЈЕ</w:t>
      </w:r>
    </w:p>
    <w:p w14:paraId="2D106FE5" w14:textId="6828CA77" w:rsidR="00686FFC" w:rsidRDefault="00F9581D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D21B3F">
        <w:rPr>
          <w:rFonts w:ascii="Times New Roman" w:hAnsi="Times New Roman"/>
          <w:bCs/>
          <w:sz w:val="24"/>
          <w:lang w:val="sr-Cyrl-BA"/>
        </w:rPr>
        <w:t>Расходе Комисије пр</w:t>
      </w:r>
      <w:r w:rsidRPr="00D21B3F">
        <w:rPr>
          <w:rFonts w:ascii="Times New Roman" w:hAnsi="Times New Roman"/>
          <w:bCs/>
          <w:sz w:val="24"/>
          <w:lang w:val="sr-Cyrl-CS"/>
        </w:rPr>
        <w:t>иј</w:t>
      </w:r>
      <w:r w:rsidRPr="00D21B3F">
        <w:rPr>
          <w:rFonts w:ascii="Times New Roman" w:hAnsi="Times New Roman"/>
          <w:bCs/>
          <w:sz w:val="24"/>
          <w:lang w:val="sr-Cyrl-BA"/>
        </w:rPr>
        <w:t>е свега чине материјални трошкови те трошкови бруто зарада.  Материјални трошкови се највећим дијелом односе на трошкове чланарина</w:t>
      </w:r>
      <w:r w:rsidRPr="00D21B3F">
        <w:rPr>
          <w:rFonts w:ascii="Times New Roman" w:hAnsi="Times New Roman"/>
          <w:bCs/>
          <w:sz w:val="24"/>
          <w:lang w:val="sr-Latn-BA"/>
        </w:rPr>
        <w:t xml:space="preserve"> </w:t>
      </w:r>
      <w:r w:rsidRPr="00D21B3F">
        <w:rPr>
          <w:rFonts w:ascii="Times New Roman" w:hAnsi="Times New Roman"/>
          <w:bCs/>
          <w:sz w:val="24"/>
          <w:lang w:val="sr-Cyrl-BA"/>
        </w:rPr>
        <w:t>(</w:t>
      </w:r>
      <w:r w:rsidRPr="00D21B3F">
        <w:rPr>
          <w:rFonts w:ascii="Times New Roman" w:hAnsi="Times New Roman"/>
          <w:bCs/>
          <w:sz w:val="24"/>
        </w:rPr>
        <w:t>IOSCO)</w:t>
      </w:r>
      <w:r w:rsidRPr="00D21B3F">
        <w:rPr>
          <w:rFonts w:ascii="Times New Roman" w:hAnsi="Times New Roman"/>
          <w:bCs/>
          <w:sz w:val="24"/>
          <w:lang w:val="sr-Latn-BA"/>
        </w:rPr>
        <w:t xml:space="preserve">, </w:t>
      </w:r>
      <w:r>
        <w:rPr>
          <w:rFonts w:ascii="Times New Roman" w:hAnsi="Times New Roman"/>
          <w:bCs/>
          <w:sz w:val="24"/>
          <w:lang w:val="sr-Cyrl-BA"/>
        </w:rPr>
        <w:t>одржавање рачунарске опреме,</w:t>
      </w:r>
      <w:r>
        <w:rPr>
          <w:rFonts w:ascii="Times New Roman" w:hAnsi="Times New Roman"/>
          <w:bCs/>
          <w:sz w:val="24"/>
          <w:lang w:val="sr-Latn-BA"/>
        </w:rPr>
        <w:t xml:space="preserve"> </w:t>
      </w:r>
      <w:r w:rsidRPr="00D21B3F">
        <w:rPr>
          <w:rFonts w:ascii="Times New Roman" w:hAnsi="Times New Roman"/>
          <w:bCs/>
          <w:sz w:val="24"/>
          <w:lang w:val="sr-Cyrl-BA"/>
        </w:rPr>
        <w:t>одржавање просторија, канцеларијски материјал, трошкове телефона, интернета, електричне енергије, горива, путних трошкова и друго. Трошкове зарада чине трошкови бруто зарада и накнада запосленима</w:t>
      </w:r>
      <w:r w:rsidR="00686FFC" w:rsidRPr="006F2417">
        <w:rPr>
          <w:rFonts w:ascii="Times New Roman" w:hAnsi="Times New Roman"/>
          <w:bCs/>
          <w:sz w:val="24"/>
          <w:lang w:val="sr-Cyrl-BA"/>
        </w:rPr>
        <w:t xml:space="preserve">. </w:t>
      </w:r>
    </w:p>
    <w:tbl>
      <w:tblPr>
        <w:tblStyle w:val="LightGrid-Accent1"/>
        <w:tblW w:w="4958" w:type="pct"/>
        <w:jc w:val="center"/>
        <w:tblLayout w:type="fixed"/>
        <w:tblLook w:val="0460" w:firstRow="1" w:lastRow="1" w:firstColumn="0" w:lastColumn="0" w:noHBand="0" w:noVBand="1"/>
      </w:tblPr>
      <w:tblGrid>
        <w:gridCol w:w="5334"/>
        <w:gridCol w:w="1329"/>
        <w:gridCol w:w="1418"/>
        <w:gridCol w:w="850"/>
      </w:tblGrid>
      <w:tr w:rsidR="00416A35" w:rsidRPr="006F2417" w14:paraId="426329EC" w14:textId="77777777" w:rsidTr="00D006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  <w:jc w:val="center"/>
        </w:trPr>
        <w:tc>
          <w:tcPr>
            <w:tcW w:w="2986" w:type="pct"/>
            <w:noWrap/>
            <w:vAlign w:val="center"/>
            <w:hideMark/>
          </w:tcPr>
          <w:p w14:paraId="6AA1787C" w14:textId="77777777" w:rsidR="00416A35" w:rsidRPr="006F2417" w:rsidRDefault="00416A35" w:rsidP="0078054A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РАСХОДИ</w:t>
            </w:r>
          </w:p>
        </w:tc>
        <w:tc>
          <w:tcPr>
            <w:tcW w:w="744" w:type="pct"/>
            <w:vAlign w:val="center"/>
            <w:hideMark/>
          </w:tcPr>
          <w:p w14:paraId="4F981426" w14:textId="38DB2E68" w:rsidR="00416A35" w:rsidRPr="00416A35" w:rsidRDefault="00416A3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Остварење 202</w:t>
            </w:r>
            <w:r w:rsidR="00491DBB">
              <w:rPr>
                <w:rFonts w:ascii="Times New Roman" w:hAnsi="Times New Roman"/>
                <w:color w:val="000000"/>
                <w:sz w:val="22"/>
                <w:szCs w:val="22"/>
                <w:lang w:bidi="ar-SA"/>
              </w:rPr>
              <w:t>4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.</w:t>
            </w:r>
          </w:p>
        </w:tc>
        <w:tc>
          <w:tcPr>
            <w:tcW w:w="794" w:type="pct"/>
            <w:vAlign w:val="center"/>
            <w:hideMark/>
          </w:tcPr>
          <w:p w14:paraId="1849CD40" w14:textId="71B2D0F1" w:rsidR="00416A35" w:rsidRPr="00416A35" w:rsidRDefault="00416A3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Остварење 20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2</w:t>
            </w:r>
            <w:r w:rsidR="00491DBB">
              <w:rPr>
                <w:rFonts w:ascii="Times New Roman" w:hAnsi="Times New Roman"/>
                <w:color w:val="000000"/>
                <w:sz w:val="22"/>
                <w:szCs w:val="22"/>
                <w:lang w:bidi="ar-SA"/>
              </w:rPr>
              <w:t>3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.</w:t>
            </w:r>
          </w:p>
        </w:tc>
        <w:tc>
          <w:tcPr>
            <w:tcW w:w="476" w:type="pct"/>
            <w:vAlign w:val="center"/>
            <w:hideMark/>
          </w:tcPr>
          <w:p w14:paraId="6253C2C0" w14:textId="28317FC6" w:rsidR="00416A35" w:rsidRPr="00491DBB" w:rsidRDefault="00416A3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202</w:t>
            </w:r>
            <w:r w:rsidR="00491DBB">
              <w:rPr>
                <w:rFonts w:ascii="Times New Roman" w:hAnsi="Times New Roman"/>
                <w:color w:val="000000"/>
                <w:sz w:val="22"/>
                <w:szCs w:val="22"/>
                <w:lang w:bidi="ar-SA"/>
              </w:rPr>
              <w:t>4</w:t>
            </w: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/ 20</w:t>
            </w:r>
            <w:r w:rsidR="00D77190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2</w:t>
            </w:r>
            <w:r w:rsidR="00491DBB">
              <w:rPr>
                <w:rFonts w:ascii="Times New Roman" w:hAnsi="Times New Roman"/>
                <w:color w:val="000000"/>
                <w:sz w:val="22"/>
                <w:szCs w:val="22"/>
                <w:lang w:bidi="ar-SA"/>
              </w:rPr>
              <w:t>3</w:t>
            </w:r>
          </w:p>
        </w:tc>
      </w:tr>
      <w:tr w:rsidR="00491DBB" w:rsidRPr="006F2417" w14:paraId="6AE2ED4A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714C2B55" w14:textId="77777777" w:rsidR="00491DBB" w:rsidRPr="006F2417" w:rsidRDefault="00491DBB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материјала, горива и енергије</w:t>
            </w:r>
          </w:p>
        </w:tc>
        <w:tc>
          <w:tcPr>
            <w:tcW w:w="744" w:type="pct"/>
            <w:vAlign w:val="center"/>
          </w:tcPr>
          <w:p w14:paraId="12274B9A" w14:textId="553E3CCA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11.185</w:t>
            </w:r>
          </w:p>
        </w:tc>
        <w:tc>
          <w:tcPr>
            <w:tcW w:w="794" w:type="pct"/>
            <w:vAlign w:val="center"/>
          </w:tcPr>
          <w:p w14:paraId="088BFFD5" w14:textId="57400DBA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10.947</w:t>
            </w:r>
          </w:p>
        </w:tc>
        <w:tc>
          <w:tcPr>
            <w:tcW w:w="476" w:type="pct"/>
            <w:vAlign w:val="center"/>
          </w:tcPr>
          <w:p w14:paraId="7DE23A49" w14:textId="68D11B7F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1,02</w:t>
            </w:r>
          </w:p>
        </w:tc>
      </w:tr>
      <w:tr w:rsidR="00491DBB" w:rsidRPr="006F2417" w14:paraId="01F1BEAF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5"/>
          <w:jc w:val="center"/>
        </w:trPr>
        <w:tc>
          <w:tcPr>
            <w:tcW w:w="2986" w:type="pct"/>
            <w:hideMark/>
          </w:tcPr>
          <w:p w14:paraId="1EB629F2" w14:textId="77777777" w:rsidR="00491DBB" w:rsidRPr="006F2417" w:rsidRDefault="00491DBB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бруто зарада и бруто накнада, остали лични расходи</w:t>
            </w:r>
          </w:p>
        </w:tc>
        <w:tc>
          <w:tcPr>
            <w:tcW w:w="744" w:type="pct"/>
            <w:vAlign w:val="center"/>
          </w:tcPr>
          <w:p w14:paraId="4D73D858" w14:textId="4FAF0706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908.262</w:t>
            </w:r>
          </w:p>
        </w:tc>
        <w:tc>
          <w:tcPr>
            <w:tcW w:w="794" w:type="pct"/>
            <w:vAlign w:val="center"/>
          </w:tcPr>
          <w:p w14:paraId="703F80FB" w14:textId="4F5B721C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890.366</w:t>
            </w:r>
          </w:p>
        </w:tc>
        <w:tc>
          <w:tcPr>
            <w:tcW w:w="476" w:type="pct"/>
            <w:vAlign w:val="center"/>
          </w:tcPr>
          <w:p w14:paraId="4F44154B" w14:textId="3918CA3A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1,02</w:t>
            </w:r>
          </w:p>
        </w:tc>
      </w:tr>
      <w:tr w:rsidR="00491DBB" w:rsidRPr="006F2417" w14:paraId="03DF93F6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322CEA49" w14:textId="77777777" w:rsidR="00491DBB" w:rsidRPr="006F2417" w:rsidRDefault="00491DBB" w:rsidP="00491DBB">
            <w:pPr>
              <w:spacing w:before="0" w:after="0" w:line="240" w:lineRule="auto"/>
              <w:ind w:left="439" w:hanging="283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а) Трошкови бруто зарада и бруто накнада зарада</w:t>
            </w:r>
          </w:p>
        </w:tc>
        <w:tc>
          <w:tcPr>
            <w:tcW w:w="744" w:type="pct"/>
            <w:noWrap/>
            <w:vAlign w:val="center"/>
          </w:tcPr>
          <w:p w14:paraId="0024BA88" w14:textId="08AD4268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841.937</w:t>
            </w:r>
          </w:p>
        </w:tc>
        <w:tc>
          <w:tcPr>
            <w:tcW w:w="794" w:type="pct"/>
            <w:noWrap/>
            <w:vAlign w:val="center"/>
          </w:tcPr>
          <w:p w14:paraId="1C14ACE1" w14:textId="02357856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810.745</w:t>
            </w:r>
          </w:p>
        </w:tc>
        <w:tc>
          <w:tcPr>
            <w:tcW w:w="476" w:type="pct"/>
            <w:vAlign w:val="center"/>
          </w:tcPr>
          <w:p w14:paraId="6038F36D" w14:textId="0712ECEA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1,04</w:t>
            </w:r>
          </w:p>
        </w:tc>
      </w:tr>
      <w:tr w:rsidR="00491DBB" w:rsidRPr="006F2417" w14:paraId="6BB9D3E7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333C0568" w14:textId="77777777" w:rsidR="00491DBB" w:rsidRPr="006F2417" w:rsidRDefault="00491DBB" w:rsidP="00491DBB">
            <w:pPr>
              <w:spacing w:before="0" w:after="0" w:line="240" w:lineRule="auto"/>
              <w:ind w:left="439" w:hanging="283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б) Остали лични расходи</w:t>
            </w:r>
          </w:p>
        </w:tc>
        <w:tc>
          <w:tcPr>
            <w:tcW w:w="744" w:type="pct"/>
            <w:noWrap/>
            <w:vAlign w:val="center"/>
          </w:tcPr>
          <w:p w14:paraId="20A833BC" w14:textId="79D93F5C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66.325</w:t>
            </w:r>
          </w:p>
        </w:tc>
        <w:tc>
          <w:tcPr>
            <w:tcW w:w="794" w:type="pct"/>
            <w:noWrap/>
            <w:vAlign w:val="center"/>
          </w:tcPr>
          <w:p w14:paraId="6FD57BAD" w14:textId="58563EC0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79.621</w:t>
            </w:r>
          </w:p>
        </w:tc>
        <w:tc>
          <w:tcPr>
            <w:tcW w:w="476" w:type="pct"/>
            <w:vAlign w:val="center"/>
          </w:tcPr>
          <w:p w14:paraId="6BF68784" w14:textId="7C177850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0,83</w:t>
            </w:r>
          </w:p>
        </w:tc>
      </w:tr>
      <w:tr w:rsidR="00491DBB" w:rsidRPr="006F2417" w14:paraId="1A9195AD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530335FC" w14:textId="77777777" w:rsidR="00491DBB" w:rsidRPr="006F2417" w:rsidRDefault="00491DBB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производних услуга</w:t>
            </w:r>
          </w:p>
        </w:tc>
        <w:tc>
          <w:tcPr>
            <w:tcW w:w="744" w:type="pct"/>
            <w:vAlign w:val="center"/>
          </w:tcPr>
          <w:p w14:paraId="3D3AE222" w14:textId="1E609360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139.948</w:t>
            </w:r>
          </w:p>
        </w:tc>
        <w:tc>
          <w:tcPr>
            <w:tcW w:w="794" w:type="pct"/>
            <w:vAlign w:val="center"/>
          </w:tcPr>
          <w:p w14:paraId="1702072C" w14:textId="7FB23ED7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48.390</w:t>
            </w:r>
          </w:p>
        </w:tc>
        <w:tc>
          <w:tcPr>
            <w:tcW w:w="476" w:type="pct"/>
            <w:vAlign w:val="center"/>
          </w:tcPr>
          <w:p w14:paraId="43D9EE23" w14:textId="2B6F94D1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2,89</w:t>
            </w:r>
          </w:p>
        </w:tc>
      </w:tr>
      <w:tr w:rsidR="00491DBB" w:rsidRPr="006F2417" w14:paraId="2B440ABB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5E27C2F8" w14:textId="77777777" w:rsidR="00491DBB" w:rsidRPr="006F2417" w:rsidRDefault="00491DBB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амортизације и отписа инвентара</w:t>
            </w:r>
          </w:p>
        </w:tc>
        <w:tc>
          <w:tcPr>
            <w:tcW w:w="744" w:type="pct"/>
            <w:vAlign w:val="center"/>
          </w:tcPr>
          <w:p w14:paraId="366F9BFB" w14:textId="7A029387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24.671</w:t>
            </w:r>
          </w:p>
        </w:tc>
        <w:tc>
          <w:tcPr>
            <w:tcW w:w="794" w:type="pct"/>
            <w:vAlign w:val="center"/>
          </w:tcPr>
          <w:p w14:paraId="72BFB7A2" w14:textId="7421AEF2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25.843</w:t>
            </w:r>
          </w:p>
        </w:tc>
        <w:tc>
          <w:tcPr>
            <w:tcW w:w="476" w:type="pct"/>
            <w:vAlign w:val="center"/>
          </w:tcPr>
          <w:p w14:paraId="3FF4BEAF" w14:textId="72ACE439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0,95</w:t>
            </w:r>
          </w:p>
        </w:tc>
      </w:tr>
      <w:tr w:rsidR="00491DBB" w:rsidRPr="006F2417" w14:paraId="1E18845E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6C5C6286" w14:textId="77777777" w:rsidR="00491DBB" w:rsidRPr="006F2417" w:rsidRDefault="00491DBB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Нематеријални трошкови</w:t>
            </w:r>
          </w:p>
        </w:tc>
        <w:tc>
          <w:tcPr>
            <w:tcW w:w="744" w:type="pct"/>
            <w:vAlign w:val="center"/>
          </w:tcPr>
          <w:p w14:paraId="2F3CB088" w14:textId="4FE29116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26.331</w:t>
            </w:r>
          </w:p>
        </w:tc>
        <w:tc>
          <w:tcPr>
            <w:tcW w:w="794" w:type="pct"/>
            <w:vAlign w:val="center"/>
          </w:tcPr>
          <w:p w14:paraId="464D2301" w14:textId="4B416908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118.325</w:t>
            </w:r>
          </w:p>
        </w:tc>
        <w:tc>
          <w:tcPr>
            <w:tcW w:w="476" w:type="pct"/>
            <w:vAlign w:val="center"/>
          </w:tcPr>
          <w:p w14:paraId="1844AFCA" w14:textId="6DBC57CA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0,22</w:t>
            </w:r>
          </w:p>
        </w:tc>
      </w:tr>
      <w:tr w:rsidR="00491DBB" w:rsidRPr="006F2417" w14:paraId="6460DD08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2D9AD587" w14:textId="77777777" w:rsidR="00491DBB" w:rsidRPr="006F2417" w:rsidRDefault="00491DBB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пореза и доприноса</w:t>
            </w:r>
          </w:p>
        </w:tc>
        <w:tc>
          <w:tcPr>
            <w:tcW w:w="744" w:type="pct"/>
            <w:vAlign w:val="center"/>
          </w:tcPr>
          <w:p w14:paraId="27FE6B8B" w14:textId="41E4DA53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2.511</w:t>
            </w:r>
          </w:p>
        </w:tc>
        <w:tc>
          <w:tcPr>
            <w:tcW w:w="794" w:type="pct"/>
            <w:vAlign w:val="center"/>
          </w:tcPr>
          <w:p w14:paraId="6670829E" w14:textId="27674022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2.929</w:t>
            </w:r>
          </w:p>
        </w:tc>
        <w:tc>
          <w:tcPr>
            <w:tcW w:w="476" w:type="pct"/>
            <w:vAlign w:val="center"/>
          </w:tcPr>
          <w:p w14:paraId="054FE069" w14:textId="6D80CE9A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0,86</w:t>
            </w:r>
          </w:p>
        </w:tc>
      </w:tr>
      <w:tr w:rsidR="00491DBB" w:rsidRPr="006F2417" w14:paraId="0007B776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730C6148" w14:textId="77777777" w:rsidR="00491DBB" w:rsidRPr="006F2417" w:rsidRDefault="00491DBB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Трошкови IOSCO</w:t>
            </w:r>
          </w:p>
        </w:tc>
        <w:tc>
          <w:tcPr>
            <w:tcW w:w="744" w:type="pct"/>
            <w:vAlign w:val="center"/>
          </w:tcPr>
          <w:p w14:paraId="3CFCFE25" w14:textId="03987A1F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39.801</w:t>
            </w:r>
          </w:p>
        </w:tc>
        <w:tc>
          <w:tcPr>
            <w:tcW w:w="794" w:type="pct"/>
            <w:vAlign w:val="center"/>
          </w:tcPr>
          <w:p w14:paraId="50AE9600" w14:textId="3F14253A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37.583</w:t>
            </w:r>
          </w:p>
        </w:tc>
        <w:tc>
          <w:tcPr>
            <w:tcW w:w="476" w:type="pct"/>
            <w:vAlign w:val="center"/>
          </w:tcPr>
          <w:p w14:paraId="54BD5F8E" w14:textId="0182CB48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1,06</w:t>
            </w:r>
          </w:p>
        </w:tc>
      </w:tr>
      <w:tr w:rsidR="00491DBB" w:rsidRPr="006F2417" w14:paraId="2BCAE441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4315DA6C" w14:textId="77777777" w:rsidR="00491DBB" w:rsidRPr="006F2417" w:rsidRDefault="00491DBB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Остали трошкови</w:t>
            </w:r>
          </w:p>
        </w:tc>
        <w:tc>
          <w:tcPr>
            <w:tcW w:w="744" w:type="pct"/>
            <w:vAlign w:val="center"/>
          </w:tcPr>
          <w:p w14:paraId="38692FB0" w14:textId="0B91B42F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0</w:t>
            </w:r>
          </w:p>
        </w:tc>
        <w:tc>
          <w:tcPr>
            <w:tcW w:w="794" w:type="pct"/>
            <w:vAlign w:val="center"/>
          </w:tcPr>
          <w:p w14:paraId="36573ADF" w14:textId="02E509DA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2.000</w:t>
            </w:r>
          </w:p>
        </w:tc>
        <w:tc>
          <w:tcPr>
            <w:tcW w:w="476" w:type="pct"/>
            <w:vAlign w:val="center"/>
          </w:tcPr>
          <w:p w14:paraId="4B7A3EE0" w14:textId="11BD3AD6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hAnsi="Times New Roman"/>
                <w:color w:val="000000"/>
                <w:sz w:val="22"/>
                <w:szCs w:val="22"/>
                <w:lang w:val="sr-Cyrl-BA"/>
              </w:rPr>
              <w:t>0,00</w:t>
            </w:r>
          </w:p>
        </w:tc>
      </w:tr>
      <w:tr w:rsidR="00491DBB" w:rsidRPr="006F2417" w14:paraId="6EA8721B" w14:textId="77777777" w:rsidTr="00D006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21A35307" w14:textId="77777777" w:rsidR="00491DBB" w:rsidRPr="006F2417" w:rsidRDefault="00491DBB" w:rsidP="00491DBB">
            <w:pPr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/>
                <w:sz w:val="22"/>
                <w:szCs w:val="22"/>
                <w:lang w:val="sr-Cyrl-BA" w:bidi="ar-SA"/>
              </w:rPr>
            </w:pPr>
            <w:r w:rsidRPr="006F2417">
              <w:rPr>
                <w:rFonts w:ascii="Times New Roman" w:hAnsi="Times New Roman"/>
                <w:color w:val="000000"/>
                <w:sz w:val="22"/>
                <w:szCs w:val="22"/>
                <w:lang w:val="sr-Cyrl-BA" w:bidi="ar-SA"/>
              </w:rPr>
              <w:t>УКУПНО</w:t>
            </w:r>
          </w:p>
        </w:tc>
        <w:tc>
          <w:tcPr>
            <w:tcW w:w="744" w:type="pct"/>
            <w:vAlign w:val="center"/>
          </w:tcPr>
          <w:p w14:paraId="11B4FCFA" w14:textId="6FBA1609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  <w:t>1.152.709</w:t>
            </w:r>
          </w:p>
        </w:tc>
        <w:tc>
          <w:tcPr>
            <w:tcW w:w="794" w:type="pct"/>
            <w:vAlign w:val="center"/>
          </w:tcPr>
          <w:p w14:paraId="6759B698" w14:textId="27B79343" w:rsidR="00491DBB" w:rsidRPr="00A441DA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</w:pPr>
            <w:r w:rsidRPr="00D771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  <w:t>1.136.383</w:t>
            </w:r>
          </w:p>
        </w:tc>
        <w:tc>
          <w:tcPr>
            <w:tcW w:w="476" w:type="pct"/>
            <w:vAlign w:val="center"/>
          </w:tcPr>
          <w:p w14:paraId="77BED2C3" w14:textId="2386E7A1" w:rsidR="00491DBB" w:rsidRPr="00D77190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</w:pPr>
            <w:r w:rsidRPr="00491D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Cyrl-BA"/>
              </w:rPr>
              <w:t>1,01</w:t>
            </w:r>
          </w:p>
        </w:tc>
      </w:tr>
    </w:tbl>
    <w:p w14:paraId="4F2E6BF8" w14:textId="05E6D3E7" w:rsidR="006F2417" w:rsidRPr="002667C1" w:rsidRDefault="006F2417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jc w:val="both"/>
        <w:rPr>
          <w:rFonts w:ascii="Times New Roman" w:hAnsi="Times New Roman"/>
          <w:b w:val="0"/>
          <w:color w:val="auto"/>
          <w:sz w:val="24"/>
          <w:szCs w:val="24"/>
          <w:lang w:val="sr-Cyrl-BA"/>
        </w:rPr>
      </w:pPr>
      <w:r w:rsidRPr="00EF2AAF">
        <w:rPr>
          <w:rFonts w:ascii="Times New Roman" w:hAnsi="Times New Roman"/>
          <w:bCs w:val="0"/>
          <w:sz w:val="24"/>
          <w:lang w:val="sr-Cyrl-BA"/>
        </w:rPr>
        <w:t xml:space="preserve">Табела </w:t>
      </w:r>
      <w:r w:rsidRPr="00EF2AAF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EF2AAF">
        <w:rPr>
          <w:rFonts w:ascii="Times New Roman" w:hAnsi="Times New Roman"/>
          <w:bCs w:val="0"/>
          <w:sz w:val="24"/>
          <w:lang w:val="sr-Cyrl-BA"/>
        </w:rPr>
        <w:instrText xml:space="preserve"> SEQ Табела \* ARABIC </w:instrText>
      </w:r>
      <w:r w:rsidRPr="00EF2AAF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BA5542">
        <w:rPr>
          <w:rFonts w:ascii="Times New Roman" w:hAnsi="Times New Roman"/>
          <w:bCs w:val="0"/>
          <w:noProof/>
          <w:sz w:val="24"/>
          <w:lang w:val="sr-Cyrl-BA"/>
        </w:rPr>
        <w:t>3</w:t>
      </w:r>
      <w:r w:rsidRPr="00EF2AAF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EF2AAF">
        <w:rPr>
          <w:rFonts w:ascii="Times New Roman" w:hAnsi="Times New Roman"/>
          <w:bCs w:val="0"/>
          <w:sz w:val="24"/>
          <w:lang w:val="sr-Cyrl-BA"/>
        </w:rPr>
        <w:t>.</w:t>
      </w:r>
      <w:r>
        <w:rPr>
          <w:rFonts w:ascii="Times New Roman" w:hAnsi="Times New Roman"/>
          <w:bCs w:val="0"/>
          <w:sz w:val="24"/>
          <w:lang w:val="sr-Cyrl-BA"/>
        </w:rPr>
        <w:tab/>
      </w:r>
      <w:r w:rsidRPr="002667C1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Структура укупних расхода Комисије 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у</w:t>
      </w:r>
      <w:r w:rsidRPr="00B96AD3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202</w:t>
      </w:r>
      <w:r w:rsidR="00491DBB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и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416A3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491DBB">
        <w:rPr>
          <w:rFonts w:ascii="Times New Roman" w:hAnsi="Times New Roman"/>
          <w:b w:val="0"/>
          <w:color w:val="auto"/>
          <w:sz w:val="24"/>
          <w:szCs w:val="24"/>
        </w:rPr>
        <w:t>4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Pr="00EF2AAF">
        <w:rPr>
          <w:rFonts w:ascii="Times New Roman" w:hAnsi="Times New Roman"/>
          <w:color w:val="auto"/>
          <w:sz w:val="24"/>
          <w:szCs w:val="24"/>
          <w:lang w:val="sr-Cyrl-BA"/>
        </w:rPr>
        <w:t xml:space="preserve"> 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годин</w:t>
      </w:r>
      <w:r w:rsidR="00D00629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и</w:t>
      </w:r>
    </w:p>
    <w:p w14:paraId="51D7F2FE" w14:textId="77777777" w:rsidR="0029793D" w:rsidRDefault="0029793D" w:rsidP="00491DBB">
      <w:pPr>
        <w:spacing w:before="120" w:after="0" w:line="240" w:lineRule="auto"/>
        <w:ind w:firstLine="567"/>
        <w:jc w:val="both"/>
        <w:rPr>
          <w:rFonts w:ascii="Times New Roman" w:hAnsi="Times New Roman"/>
          <w:bCs/>
          <w:sz w:val="24"/>
          <w:lang w:val="sr-Cyrl-BA"/>
        </w:rPr>
      </w:pPr>
      <w:bookmarkStart w:id="0" w:name="_Hlk133233014"/>
    </w:p>
    <w:p w14:paraId="4B155061" w14:textId="6491D9A8" w:rsidR="00BD07C5" w:rsidRDefault="000414AA" w:rsidP="00491DBB">
      <w:pPr>
        <w:spacing w:before="120" w:after="0" w:line="240" w:lineRule="auto"/>
        <w:ind w:firstLine="567"/>
        <w:jc w:val="both"/>
        <w:rPr>
          <w:rFonts w:ascii="Times New Roman" w:hAnsi="Times New Roman"/>
          <w:bCs/>
          <w:sz w:val="24"/>
          <w:lang w:val="sr-Cyrl-BA"/>
        </w:rPr>
      </w:pPr>
      <w:r w:rsidRPr="000414AA">
        <w:rPr>
          <w:rFonts w:ascii="Times New Roman" w:hAnsi="Times New Roman"/>
          <w:bCs/>
          <w:sz w:val="24"/>
          <w:lang w:val="sr-Cyrl-BA"/>
        </w:rPr>
        <w:lastRenderedPageBreak/>
        <w:t>Из претходне табеле видљиво је да су укупни  расходи у 202</w:t>
      </w:r>
      <w:r w:rsidR="00B0730D">
        <w:rPr>
          <w:rFonts w:ascii="Times New Roman" w:hAnsi="Times New Roman"/>
          <w:bCs/>
          <w:sz w:val="24"/>
          <w:lang w:val="sr-Cyrl-BA"/>
        </w:rPr>
        <w:t>4</w:t>
      </w:r>
      <w:r w:rsidRPr="000414AA">
        <w:rPr>
          <w:rFonts w:ascii="Times New Roman" w:hAnsi="Times New Roman"/>
          <w:bCs/>
          <w:sz w:val="24"/>
          <w:lang w:val="sr-Cyrl-BA"/>
        </w:rPr>
        <w:t xml:space="preserve">. години остварени у износу од </w:t>
      </w:r>
      <w:r w:rsidR="00D77190">
        <w:rPr>
          <w:rFonts w:ascii="Times New Roman" w:hAnsi="Times New Roman"/>
          <w:color w:val="000000"/>
          <w:sz w:val="24"/>
          <w:szCs w:val="24"/>
          <w:lang w:val="sr-Cyrl-BA" w:bidi="ar-SA"/>
        </w:rPr>
        <w:t>1.</w:t>
      </w:r>
      <w:r w:rsidR="00B0730D">
        <w:rPr>
          <w:rFonts w:ascii="Times New Roman" w:hAnsi="Times New Roman"/>
          <w:color w:val="000000"/>
          <w:sz w:val="24"/>
          <w:szCs w:val="24"/>
          <w:lang w:val="sr-Cyrl-BA" w:bidi="ar-SA"/>
        </w:rPr>
        <w:t>152</w:t>
      </w:r>
      <w:r w:rsidR="00D77190">
        <w:rPr>
          <w:rFonts w:ascii="Times New Roman" w:hAnsi="Times New Roman"/>
          <w:color w:val="000000"/>
          <w:sz w:val="24"/>
          <w:szCs w:val="24"/>
          <w:lang w:val="sr-Cyrl-BA" w:bidi="ar-SA"/>
        </w:rPr>
        <w:t>.</w:t>
      </w:r>
      <w:r w:rsidR="00B0730D">
        <w:rPr>
          <w:rFonts w:ascii="Times New Roman" w:hAnsi="Times New Roman"/>
          <w:color w:val="000000"/>
          <w:sz w:val="24"/>
          <w:szCs w:val="24"/>
          <w:lang w:val="sr-Cyrl-BA" w:bidi="ar-SA"/>
        </w:rPr>
        <w:t>709</w:t>
      </w:r>
      <w:r w:rsidRPr="000414AA">
        <w:rPr>
          <w:rFonts w:ascii="Times New Roman" w:hAnsi="Times New Roman"/>
          <w:color w:val="000000"/>
          <w:sz w:val="24"/>
          <w:szCs w:val="24"/>
          <w:lang w:val="sr-Cyrl-BA" w:bidi="ar-SA"/>
        </w:rPr>
        <w:t xml:space="preserve"> </w:t>
      </w:r>
      <w:r w:rsidRPr="000414AA">
        <w:rPr>
          <w:rFonts w:ascii="Times New Roman" w:hAnsi="Times New Roman"/>
          <w:bCs/>
          <w:sz w:val="24"/>
          <w:szCs w:val="24"/>
          <w:lang w:val="sr-Cyrl-BA"/>
        </w:rPr>
        <w:t>КМ</w:t>
      </w:r>
      <w:r w:rsidRPr="000414AA">
        <w:rPr>
          <w:rFonts w:ascii="Times New Roman" w:hAnsi="Times New Roman"/>
          <w:bCs/>
          <w:sz w:val="24"/>
          <w:lang w:val="sr-Cyrl-BA"/>
        </w:rPr>
        <w:t xml:space="preserve">, те да су исти су </w:t>
      </w:r>
      <w:r w:rsidR="00B0730D">
        <w:rPr>
          <w:rFonts w:ascii="Times New Roman" w:hAnsi="Times New Roman"/>
          <w:bCs/>
          <w:sz w:val="24"/>
          <w:lang w:val="sr-Cyrl-BA"/>
        </w:rPr>
        <w:t xml:space="preserve">на нивоу </w:t>
      </w:r>
      <w:r w:rsidRPr="000414AA">
        <w:rPr>
          <w:rFonts w:ascii="Times New Roman" w:hAnsi="Times New Roman"/>
          <w:bCs/>
          <w:sz w:val="24"/>
          <w:lang w:val="sr-Cyrl-BA"/>
        </w:rPr>
        <w:t>укупних расхода 202</w:t>
      </w:r>
      <w:r w:rsidR="00B0730D">
        <w:rPr>
          <w:rFonts w:ascii="Times New Roman" w:hAnsi="Times New Roman"/>
          <w:bCs/>
          <w:sz w:val="24"/>
          <w:lang w:val="sr-Cyrl-BA"/>
        </w:rPr>
        <w:t>3</w:t>
      </w:r>
      <w:r w:rsidRPr="000414AA">
        <w:rPr>
          <w:rFonts w:ascii="Times New Roman" w:hAnsi="Times New Roman"/>
          <w:bCs/>
          <w:sz w:val="24"/>
          <w:lang w:val="sr-Cyrl-BA"/>
        </w:rPr>
        <w:t xml:space="preserve">. године. Најзначајније ставке пословних расхода су трошкови бруто зарада, док код материјалних трошкова у највећем износу партиципирају трошкови одржавања сталних средстава и просторија. </w:t>
      </w:r>
      <w:bookmarkEnd w:id="0"/>
    </w:p>
    <w:p w14:paraId="5BD76712" w14:textId="35377412" w:rsidR="0029793D" w:rsidRDefault="0029793D" w:rsidP="0029793D">
      <w:pPr>
        <w:spacing w:before="120" w:after="0" w:line="240" w:lineRule="auto"/>
        <w:ind w:left="-1134"/>
        <w:jc w:val="both"/>
        <w:rPr>
          <w:rFonts w:ascii="Times New Roman" w:hAnsi="Times New Roman"/>
          <w:bCs/>
          <w:sz w:val="24"/>
          <w:lang w:val="sr-Cyrl-BA"/>
        </w:rPr>
      </w:pPr>
      <w:r>
        <w:rPr>
          <w:noProof/>
        </w:rPr>
        <w:drawing>
          <wp:inline distT="0" distB="0" distL="0" distR="0" wp14:anchorId="2B6CB121" wp14:editId="41D876F2">
            <wp:extent cx="6967577" cy="3113405"/>
            <wp:effectExtent l="0" t="0" r="5080" b="0"/>
            <wp:docPr id="7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271AA923-D0DC-4C80-B675-9B904745C1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42D3BB0" w14:textId="6A34AFEE" w:rsidR="008D7FC3" w:rsidRDefault="008D7FC3" w:rsidP="00B35336">
      <w:pPr>
        <w:pStyle w:val="Caption"/>
        <w:tabs>
          <w:tab w:val="left" w:pos="1134"/>
        </w:tabs>
        <w:spacing w:before="240" w:after="0" w:line="240" w:lineRule="auto"/>
        <w:ind w:left="1134" w:hanging="1134"/>
        <w:jc w:val="both"/>
        <w:rPr>
          <w:rFonts w:ascii="Times New Roman" w:hAnsi="Times New Roman"/>
          <w:b w:val="0"/>
          <w:bCs w:val="0"/>
          <w:color w:val="auto"/>
          <w:sz w:val="24"/>
        </w:rPr>
      </w:pPr>
      <w:r>
        <w:rPr>
          <w:rFonts w:ascii="Times New Roman" w:hAnsi="Times New Roman"/>
          <w:bCs w:val="0"/>
          <w:sz w:val="24"/>
          <w:lang w:val="sr-Cyrl-BA"/>
        </w:rPr>
        <w:t>Слика</w:t>
      </w:r>
      <w:r w:rsidRPr="000625EB">
        <w:rPr>
          <w:rFonts w:ascii="Times New Roman" w:hAnsi="Times New Roman"/>
          <w:bCs w:val="0"/>
          <w:sz w:val="24"/>
          <w:lang w:val="sr-Cyrl-BA"/>
        </w:rPr>
        <w:t xml:space="preserve"> 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0625EB">
        <w:rPr>
          <w:rFonts w:ascii="Times New Roman" w:hAnsi="Times New Roman"/>
          <w:bCs w:val="0"/>
          <w:sz w:val="24"/>
          <w:lang w:val="sr-Cyrl-BA"/>
        </w:rPr>
        <w:instrText xml:space="preserve"> SEQ Графикон \* ARABIC </w:instrTex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BA5542">
        <w:rPr>
          <w:rFonts w:ascii="Times New Roman" w:hAnsi="Times New Roman"/>
          <w:bCs w:val="0"/>
          <w:noProof/>
          <w:sz w:val="24"/>
          <w:lang w:val="sr-Cyrl-BA"/>
        </w:rPr>
        <w:t>2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0625EB">
        <w:rPr>
          <w:rFonts w:ascii="Times New Roman" w:hAnsi="Times New Roman"/>
          <w:bCs w:val="0"/>
          <w:sz w:val="24"/>
          <w:lang w:val="sr-Cyrl-BA"/>
        </w:rPr>
        <w:t>.</w:t>
      </w:r>
      <w:r>
        <w:rPr>
          <w:rFonts w:ascii="Times New Roman" w:hAnsi="Times New Roman"/>
          <w:bCs w:val="0"/>
          <w:sz w:val="24"/>
          <w:lang w:val="sr-Cyrl-BA"/>
        </w:rPr>
        <w:tab/>
      </w:r>
      <w:r w:rsidRPr="008D7FC3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Ст</w:t>
      </w:r>
      <w:r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р</w:t>
      </w:r>
      <w:r w:rsidRPr="008D7FC3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 xml:space="preserve">уктура расхода Комисије у </w:t>
      </w:r>
      <w:r w:rsidR="00D00629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 xml:space="preserve">2023. и </w:t>
      </w:r>
      <w:r w:rsidR="00F9581D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202</w:t>
      </w:r>
      <w:r w:rsidR="00491DBB">
        <w:rPr>
          <w:rFonts w:ascii="Times New Roman" w:hAnsi="Times New Roman"/>
          <w:b w:val="0"/>
          <w:bCs w:val="0"/>
          <w:color w:val="auto"/>
          <w:sz w:val="24"/>
        </w:rPr>
        <w:t>4</w:t>
      </w:r>
      <w:r w:rsidRPr="008D7FC3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 xml:space="preserve">. </w:t>
      </w:r>
      <w:r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г</w:t>
      </w:r>
      <w:r w:rsidRPr="008D7FC3">
        <w:rPr>
          <w:rFonts w:ascii="Times New Roman" w:hAnsi="Times New Roman"/>
          <w:b w:val="0"/>
          <w:bCs w:val="0"/>
          <w:color w:val="auto"/>
          <w:sz w:val="24"/>
          <w:lang w:val="sr-Cyrl-BA"/>
        </w:rPr>
        <w:t>одини</w:t>
      </w:r>
    </w:p>
    <w:p w14:paraId="3657ACC0" w14:textId="0111A127" w:rsidR="00CA5311" w:rsidRPr="004C6172" w:rsidRDefault="004C617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Cyrl-BA"/>
        </w:rPr>
      </w:pPr>
      <w:r w:rsidRPr="004C6172">
        <w:rPr>
          <w:rFonts w:ascii="Times New Roman" w:hAnsi="Times New Roman"/>
          <w:caps w:val="0"/>
          <w:color w:val="365F91" w:themeColor="accent1" w:themeShade="BF"/>
          <w:sz w:val="28"/>
          <w:lang w:val="sr-Cyrl-BA"/>
        </w:rPr>
        <w:t>ВИШАК ПРИХОДА НАД РАСХОДИМА</w:t>
      </w:r>
    </w:p>
    <w:p w14:paraId="5C8B051C" w14:textId="3679A554" w:rsidR="009F3B90" w:rsidRPr="006F2417" w:rsidRDefault="00F9581D" w:rsidP="00733C71">
      <w:pPr>
        <w:spacing w:before="120" w:after="120" w:line="240" w:lineRule="auto"/>
        <w:ind w:firstLine="567"/>
        <w:jc w:val="both"/>
        <w:rPr>
          <w:rFonts w:ascii="Cambria" w:hAnsi="Cambria"/>
          <w:bCs/>
          <w:sz w:val="24"/>
          <w:lang w:val="sr-Cyrl-BA"/>
        </w:rPr>
      </w:pPr>
      <w:r w:rsidRPr="00DD0AA6">
        <w:rPr>
          <w:rFonts w:ascii="Times New Roman" w:hAnsi="Times New Roman"/>
          <w:bCs/>
          <w:sz w:val="24"/>
          <w:szCs w:val="24"/>
          <w:lang w:val="sr-Cyrl-BA"/>
        </w:rPr>
        <w:t>У 202</w:t>
      </w:r>
      <w:r w:rsidR="00505074">
        <w:rPr>
          <w:rFonts w:ascii="Times New Roman" w:hAnsi="Times New Roman"/>
          <w:bCs/>
          <w:sz w:val="24"/>
          <w:szCs w:val="24"/>
          <w:lang w:val="sr-Cyrl-BA"/>
        </w:rPr>
        <w:t>4</w:t>
      </w:r>
      <w:r w:rsidRPr="00DD0AA6">
        <w:rPr>
          <w:rFonts w:ascii="Times New Roman" w:hAnsi="Times New Roman"/>
          <w:bCs/>
          <w:sz w:val="24"/>
          <w:szCs w:val="24"/>
          <w:lang w:val="sr-Cyrl-BA"/>
        </w:rPr>
        <w:t xml:space="preserve">. години Комисија је остварила </w:t>
      </w:r>
      <w:r w:rsidR="00505074">
        <w:rPr>
          <w:rFonts w:ascii="Times New Roman" w:hAnsi="Times New Roman"/>
          <w:bCs/>
          <w:sz w:val="24"/>
          <w:szCs w:val="24"/>
          <w:lang w:val="sr-Cyrl-BA"/>
        </w:rPr>
        <w:t>вишак</w:t>
      </w:r>
      <w:r w:rsidRPr="00DD0AA6">
        <w:rPr>
          <w:rFonts w:ascii="Times New Roman" w:hAnsi="Times New Roman"/>
          <w:bCs/>
          <w:sz w:val="24"/>
          <w:szCs w:val="24"/>
          <w:lang w:val="sr-Cyrl-BA"/>
        </w:rPr>
        <w:t xml:space="preserve"> прихода над расходима у износу од  </w:t>
      </w:r>
      <w:r w:rsidR="00505074">
        <w:rPr>
          <w:rFonts w:ascii="Times New Roman" w:hAnsi="Times New Roman"/>
          <w:bCs/>
          <w:sz w:val="24"/>
          <w:szCs w:val="24"/>
          <w:lang w:val="sr-Cyrl-BA"/>
        </w:rPr>
        <w:t>638</w:t>
      </w:r>
      <w:r w:rsidR="00B35336">
        <w:rPr>
          <w:rFonts w:ascii="Times New Roman" w:hAnsi="Times New Roman"/>
          <w:color w:val="000000"/>
          <w:sz w:val="24"/>
          <w:szCs w:val="24"/>
          <w:lang w:val="sr-Cyrl-BA" w:eastAsia="bs-Latn-BA" w:bidi="ar-SA"/>
        </w:rPr>
        <w:t>.</w:t>
      </w:r>
      <w:r w:rsidR="00505074">
        <w:rPr>
          <w:rFonts w:ascii="Times New Roman" w:hAnsi="Times New Roman"/>
          <w:color w:val="000000"/>
          <w:sz w:val="24"/>
          <w:szCs w:val="24"/>
          <w:lang w:val="sr-Cyrl-BA" w:eastAsia="bs-Latn-BA" w:bidi="ar-SA"/>
        </w:rPr>
        <w:t>478</w:t>
      </w:r>
      <w:r w:rsidRPr="00DD0AA6">
        <w:rPr>
          <w:rFonts w:ascii="Times New Roman" w:hAnsi="Times New Roman"/>
          <w:color w:val="000000"/>
          <w:sz w:val="24"/>
          <w:szCs w:val="24"/>
          <w:lang w:val="sr-Cyrl-BA" w:eastAsia="bs-Latn-BA" w:bidi="ar-SA"/>
        </w:rPr>
        <w:t xml:space="preserve"> </w:t>
      </w:r>
      <w:r w:rsidRPr="00DD0AA6">
        <w:rPr>
          <w:rFonts w:ascii="Times New Roman" w:hAnsi="Times New Roman"/>
          <w:bCs/>
          <w:sz w:val="24"/>
          <w:szCs w:val="24"/>
          <w:lang w:val="sr-Cyrl-BA"/>
        </w:rPr>
        <w:t>КМ</w:t>
      </w:r>
      <w:r w:rsidR="000C64B9" w:rsidRPr="006F2417">
        <w:rPr>
          <w:rFonts w:ascii="Times New Roman" w:hAnsi="Times New Roman"/>
          <w:bCs/>
          <w:sz w:val="24"/>
          <w:lang w:val="sr-Cyrl-BA"/>
        </w:rPr>
        <w:t>.</w:t>
      </w:r>
    </w:p>
    <w:tbl>
      <w:tblPr>
        <w:tblStyle w:val="LightGrid-Accent1"/>
        <w:tblW w:w="9062" w:type="dxa"/>
        <w:jc w:val="center"/>
        <w:tblLook w:val="04A0" w:firstRow="1" w:lastRow="0" w:firstColumn="1" w:lastColumn="0" w:noHBand="0" w:noVBand="1"/>
      </w:tblPr>
      <w:tblGrid>
        <w:gridCol w:w="3118"/>
        <w:gridCol w:w="2401"/>
        <w:gridCol w:w="2268"/>
        <w:gridCol w:w="1275"/>
      </w:tblGrid>
      <w:tr w:rsidR="00CF3CC5" w:rsidRPr="000414AA" w14:paraId="72330754" w14:textId="77777777" w:rsidTr="009F4E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noWrap/>
            <w:hideMark/>
          </w:tcPr>
          <w:p w14:paraId="5C4FE853" w14:textId="77777777" w:rsidR="00CF3CC5" w:rsidRPr="000414AA" w:rsidRDefault="00CF3CC5" w:rsidP="00CF3CC5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 </w:t>
            </w:r>
          </w:p>
        </w:tc>
        <w:tc>
          <w:tcPr>
            <w:tcW w:w="2401" w:type="dxa"/>
            <w:hideMark/>
          </w:tcPr>
          <w:p w14:paraId="00909A3D" w14:textId="43D6635A" w:rsidR="00CF3CC5" w:rsidRPr="000414AA" w:rsidRDefault="00CF3CC5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Остварено у периоду </w:t>
            </w:r>
            <w:r w:rsidR="009F4EDE"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од 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01.01.</w:t>
            </w:r>
            <w:r w:rsidR="009F4EDE"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 до 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31.12.20</w:t>
            </w:r>
            <w:r w:rsidR="005A1685"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2</w:t>
            </w:r>
            <w:r w:rsidR="00D00629">
              <w:rPr>
                <w:rFonts w:ascii="Times New Roman" w:hAnsi="Times New Roman"/>
                <w:color w:val="000000"/>
                <w:lang w:val="sr-Cyrl-BA" w:eastAsia="bs-Latn-BA" w:bidi="ar-SA"/>
              </w:rPr>
              <w:t>4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.</w:t>
            </w:r>
          </w:p>
        </w:tc>
        <w:tc>
          <w:tcPr>
            <w:tcW w:w="2268" w:type="dxa"/>
            <w:hideMark/>
          </w:tcPr>
          <w:p w14:paraId="4679C0B8" w14:textId="48614900" w:rsidR="00CF3CC5" w:rsidRPr="000414AA" w:rsidRDefault="005A1685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Остварено у периоду</w:t>
            </w:r>
            <w:r w:rsidR="009F4EDE"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 од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 01.01.</w:t>
            </w:r>
            <w:r w:rsidR="009F4EDE"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 до 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31.12.</w:t>
            </w:r>
            <w:r w:rsidR="00416A35" w:rsidRPr="000414AA">
              <w:rPr>
                <w:rFonts w:ascii="Times New Roman" w:hAnsi="Times New Roman"/>
                <w:color w:val="000000"/>
                <w:lang w:val="sr-Latn-BA" w:eastAsia="bs-Latn-BA" w:bidi="ar-SA"/>
              </w:rPr>
              <w:t>20</w:t>
            </w:r>
            <w:r w:rsid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2</w:t>
            </w:r>
            <w:r w:rsidR="00505074">
              <w:rPr>
                <w:rFonts w:ascii="Times New Roman" w:hAnsi="Times New Roman"/>
                <w:color w:val="000000"/>
                <w:lang w:val="sr-Cyrl-BA" w:eastAsia="bs-Latn-BA" w:bidi="ar-SA"/>
              </w:rPr>
              <w:t>3</w:t>
            </w:r>
            <w:r w:rsidR="00416A35" w:rsidRPr="000414AA">
              <w:rPr>
                <w:rFonts w:ascii="Times New Roman" w:hAnsi="Times New Roman"/>
                <w:color w:val="000000"/>
                <w:lang w:val="sr-Latn-BA" w:eastAsia="bs-Latn-BA" w:bidi="ar-SA"/>
              </w:rPr>
              <w:t>.</w:t>
            </w:r>
          </w:p>
        </w:tc>
        <w:tc>
          <w:tcPr>
            <w:tcW w:w="1275" w:type="dxa"/>
            <w:noWrap/>
            <w:hideMark/>
          </w:tcPr>
          <w:p w14:paraId="47E33347" w14:textId="18A49357" w:rsidR="00CF3CC5" w:rsidRPr="00B35336" w:rsidRDefault="00CF3CC5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Остварено 20</w:t>
            </w:r>
            <w:r w:rsidR="005A1685"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2</w:t>
            </w:r>
            <w:r w:rsidR="00505074">
              <w:rPr>
                <w:rFonts w:ascii="Times New Roman" w:hAnsi="Times New Roman"/>
                <w:color w:val="000000"/>
                <w:lang w:val="sr-Cyrl-BA" w:eastAsia="bs-Latn-BA" w:bidi="ar-SA"/>
              </w:rPr>
              <w:t>4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/20</w:t>
            </w:r>
            <w:r w:rsidR="00416A35" w:rsidRPr="000414AA">
              <w:rPr>
                <w:rFonts w:ascii="Times New Roman" w:hAnsi="Times New Roman"/>
                <w:color w:val="000000"/>
                <w:lang w:val="sr-Latn-BA" w:eastAsia="bs-Latn-BA" w:bidi="ar-SA"/>
              </w:rPr>
              <w:t>2</w:t>
            </w:r>
            <w:r w:rsidR="00505074">
              <w:rPr>
                <w:rFonts w:ascii="Times New Roman" w:hAnsi="Times New Roman"/>
                <w:color w:val="000000"/>
                <w:lang w:val="sr-Cyrl-BA" w:eastAsia="bs-Latn-BA" w:bidi="ar-SA"/>
              </w:rPr>
              <w:t>3</w:t>
            </w:r>
          </w:p>
        </w:tc>
      </w:tr>
      <w:tr w:rsidR="00505074" w:rsidRPr="000414AA" w14:paraId="0B144006" w14:textId="77777777" w:rsidTr="009F4E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noWrap/>
            <w:hideMark/>
          </w:tcPr>
          <w:p w14:paraId="2AAD07DF" w14:textId="77777777" w:rsidR="00505074" w:rsidRPr="000414AA" w:rsidRDefault="00505074" w:rsidP="00505074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Укупни приходи</w:t>
            </w:r>
          </w:p>
        </w:tc>
        <w:tc>
          <w:tcPr>
            <w:tcW w:w="2401" w:type="dxa"/>
            <w:vAlign w:val="center"/>
          </w:tcPr>
          <w:p w14:paraId="4B13AE48" w14:textId="28691C6C" w:rsidR="00505074" w:rsidRPr="00B35336" w:rsidRDefault="00505074" w:rsidP="00505074">
            <w:pPr>
              <w:tabs>
                <w:tab w:val="decimal" w:pos="1590"/>
              </w:tabs>
              <w:spacing w:before="0" w:after="0" w:line="240" w:lineRule="auto"/>
              <w:ind w:left="7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1.</w:t>
            </w: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>791</w:t>
            </w: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.</w:t>
            </w: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187  </w:t>
            </w:r>
          </w:p>
        </w:tc>
        <w:tc>
          <w:tcPr>
            <w:tcW w:w="2268" w:type="dxa"/>
            <w:vAlign w:val="center"/>
            <w:hideMark/>
          </w:tcPr>
          <w:p w14:paraId="4D11E9CE" w14:textId="5FCAB449" w:rsidR="00505074" w:rsidRPr="00B35336" w:rsidRDefault="00505074" w:rsidP="00505074">
            <w:pPr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1.016.352</w:t>
            </w: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 xml:space="preserve">  </w:t>
            </w:r>
          </w:p>
        </w:tc>
        <w:tc>
          <w:tcPr>
            <w:tcW w:w="1275" w:type="dxa"/>
            <w:noWrap/>
            <w:vAlign w:val="center"/>
            <w:hideMark/>
          </w:tcPr>
          <w:p w14:paraId="43436205" w14:textId="79965DD1" w:rsidR="00505074" w:rsidRPr="00B35336" w:rsidRDefault="00505074" w:rsidP="00505074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>1</w:t>
            </w:r>
            <w:r w:rsidRPr="00B35336">
              <w:rPr>
                <w:rFonts w:ascii="Times New Roman" w:hAnsi="Times New Roman"/>
                <w:color w:val="000000"/>
                <w:lang w:val="bs-Latn-BA" w:eastAsia="bs-Latn-BA" w:bidi="ar-SA"/>
              </w:rPr>
              <w:t>,</w:t>
            </w: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7</w:t>
            </w: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>6</w:t>
            </w:r>
          </w:p>
        </w:tc>
      </w:tr>
      <w:tr w:rsidR="00505074" w:rsidRPr="000414AA" w14:paraId="63184719" w14:textId="77777777" w:rsidTr="009F4E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hideMark/>
          </w:tcPr>
          <w:p w14:paraId="22E8D05E" w14:textId="36B927DC" w:rsidR="00505074" w:rsidRPr="000414AA" w:rsidRDefault="00505074" w:rsidP="00505074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Укупни расходи</w:t>
            </w:r>
          </w:p>
        </w:tc>
        <w:tc>
          <w:tcPr>
            <w:tcW w:w="2401" w:type="dxa"/>
            <w:vAlign w:val="center"/>
          </w:tcPr>
          <w:p w14:paraId="588E63BD" w14:textId="30B957DF" w:rsidR="00505074" w:rsidRPr="00B35336" w:rsidRDefault="00505074" w:rsidP="00505074">
            <w:pPr>
              <w:tabs>
                <w:tab w:val="decimal" w:pos="1590"/>
              </w:tabs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1.</w:t>
            </w: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>152</w:t>
            </w: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.</w:t>
            </w: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>709</w:t>
            </w:r>
          </w:p>
        </w:tc>
        <w:tc>
          <w:tcPr>
            <w:tcW w:w="2268" w:type="dxa"/>
            <w:vAlign w:val="center"/>
            <w:hideMark/>
          </w:tcPr>
          <w:p w14:paraId="69952F56" w14:textId="26BA4F15" w:rsidR="00505074" w:rsidRPr="00B35336" w:rsidRDefault="00505074" w:rsidP="00505074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1.136.383</w:t>
            </w:r>
          </w:p>
        </w:tc>
        <w:tc>
          <w:tcPr>
            <w:tcW w:w="1275" w:type="dxa"/>
            <w:noWrap/>
            <w:vAlign w:val="center"/>
            <w:hideMark/>
          </w:tcPr>
          <w:p w14:paraId="1B45E2BE" w14:textId="49D3E4A6" w:rsidR="00505074" w:rsidRPr="00B35336" w:rsidRDefault="00505074" w:rsidP="00505074">
            <w:pPr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color w:val="000000"/>
                <w:lang w:val="sr-Cyrl-BA" w:eastAsia="bs-Latn-BA" w:bidi="ar-SA"/>
              </w:rPr>
              <w:t>1,</w:t>
            </w: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>01</w:t>
            </w:r>
          </w:p>
        </w:tc>
      </w:tr>
      <w:tr w:rsidR="00505074" w:rsidRPr="000414AA" w14:paraId="1CCD50D5" w14:textId="77777777" w:rsidTr="009F4E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hideMark/>
          </w:tcPr>
          <w:p w14:paraId="356C6D23" w14:textId="0AB2DCF9" w:rsidR="00505074" w:rsidRPr="000414AA" w:rsidRDefault="00505074" w:rsidP="00505074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Вишак</w:t>
            </w:r>
            <w:r w:rsidRPr="000414AA">
              <w:rPr>
                <w:rFonts w:ascii="Times New Roman" w:hAnsi="Times New Roman"/>
                <w:color w:val="000000"/>
                <w:lang w:val="bs-Latn-BA" w:eastAsia="bs-Latn-BA" w:bidi="ar-SA"/>
              </w:rPr>
              <w:t xml:space="preserve"> </w:t>
            </w:r>
            <w:r w:rsidRPr="000414AA">
              <w:rPr>
                <w:rFonts w:ascii="Times New Roman" w:hAnsi="Times New Roman"/>
                <w:color w:val="000000"/>
                <w:lang w:val="sr-Cyrl-BA" w:eastAsia="bs-Latn-BA" w:bidi="ar-SA"/>
              </w:rPr>
              <w:t>прихода над расходима</w:t>
            </w:r>
          </w:p>
        </w:tc>
        <w:tc>
          <w:tcPr>
            <w:tcW w:w="2401" w:type="dxa"/>
            <w:vAlign w:val="center"/>
          </w:tcPr>
          <w:p w14:paraId="1BA3B680" w14:textId="18BBE469" w:rsidR="00505074" w:rsidRPr="00B35336" w:rsidRDefault="00505074" w:rsidP="00505074">
            <w:pPr>
              <w:tabs>
                <w:tab w:val="decimal" w:pos="1590"/>
              </w:tabs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  <w:t>638.478</w:t>
            </w:r>
          </w:p>
        </w:tc>
        <w:tc>
          <w:tcPr>
            <w:tcW w:w="2268" w:type="dxa"/>
            <w:vAlign w:val="center"/>
            <w:hideMark/>
          </w:tcPr>
          <w:p w14:paraId="729D1DB8" w14:textId="5478A86D" w:rsidR="00505074" w:rsidRPr="00B35336" w:rsidRDefault="00505074" w:rsidP="00505074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108A1827" w14:textId="483CFEDA" w:rsidR="00505074" w:rsidRPr="00B35336" w:rsidRDefault="00505074" w:rsidP="00505074">
            <w:pPr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</w:p>
        </w:tc>
      </w:tr>
      <w:tr w:rsidR="00505074" w:rsidRPr="000414AA" w14:paraId="4E0AB827" w14:textId="77777777" w:rsidTr="009F4E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</w:tcPr>
          <w:p w14:paraId="705FE343" w14:textId="67131F19" w:rsidR="00505074" w:rsidRPr="000414AA" w:rsidRDefault="00505074" w:rsidP="00505074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  <w:r>
              <w:rPr>
                <w:rFonts w:ascii="Times New Roman" w:hAnsi="Times New Roman"/>
                <w:color w:val="000000"/>
                <w:lang w:val="sr-Cyrl-BA" w:eastAsia="bs-Latn-BA" w:bidi="ar-SA"/>
              </w:rPr>
              <w:t>Мањак прихода над расходима</w:t>
            </w:r>
          </w:p>
        </w:tc>
        <w:tc>
          <w:tcPr>
            <w:tcW w:w="2401" w:type="dxa"/>
            <w:vAlign w:val="center"/>
          </w:tcPr>
          <w:p w14:paraId="299E6512" w14:textId="337DBF41" w:rsidR="00505074" w:rsidRPr="00B35336" w:rsidRDefault="00505074" w:rsidP="00505074">
            <w:pPr>
              <w:tabs>
                <w:tab w:val="decimal" w:pos="1590"/>
              </w:tabs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</w:pPr>
          </w:p>
        </w:tc>
        <w:tc>
          <w:tcPr>
            <w:tcW w:w="2268" w:type="dxa"/>
            <w:vAlign w:val="center"/>
          </w:tcPr>
          <w:p w14:paraId="3C983463" w14:textId="33E24899" w:rsidR="00505074" w:rsidRPr="00B35336" w:rsidRDefault="00505074" w:rsidP="00505074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</w:pPr>
            <w:r w:rsidRPr="00B35336">
              <w:rPr>
                <w:rFonts w:ascii="Times New Roman" w:hAnsi="Times New Roman"/>
                <w:b/>
                <w:bCs/>
                <w:color w:val="000000"/>
                <w:lang w:val="sr-Cyrl-BA" w:eastAsia="bs-Latn-BA" w:bidi="ar-SA"/>
              </w:rPr>
              <w:t>120.031</w:t>
            </w:r>
          </w:p>
        </w:tc>
        <w:tc>
          <w:tcPr>
            <w:tcW w:w="1275" w:type="dxa"/>
            <w:noWrap/>
            <w:vAlign w:val="center"/>
          </w:tcPr>
          <w:p w14:paraId="361E936E" w14:textId="77777777" w:rsidR="00505074" w:rsidRPr="00B35336" w:rsidRDefault="00505074" w:rsidP="00505074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Cyrl-BA" w:eastAsia="bs-Latn-BA" w:bidi="ar-SA"/>
              </w:rPr>
            </w:pPr>
          </w:p>
        </w:tc>
      </w:tr>
    </w:tbl>
    <w:p w14:paraId="0BA2CBDB" w14:textId="22BF7C33" w:rsidR="009F3B90" w:rsidRDefault="004C6172" w:rsidP="004C6172">
      <w:pPr>
        <w:pStyle w:val="Caption"/>
        <w:tabs>
          <w:tab w:val="left" w:pos="1276"/>
        </w:tabs>
        <w:spacing w:before="120" w:after="0" w:line="240" w:lineRule="auto"/>
        <w:ind w:left="1276" w:hanging="1276"/>
        <w:rPr>
          <w:rFonts w:ascii="Times New Roman" w:hAnsi="Times New Roman"/>
          <w:b w:val="0"/>
          <w:color w:val="auto"/>
          <w:sz w:val="24"/>
          <w:szCs w:val="24"/>
          <w:lang w:val="sr-Cyrl-BA"/>
        </w:rPr>
      </w:pPr>
      <w:r w:rsidRPr="000625EB">
        <w:rPr>
          <w:rFonts w:ascii="Times New Roman" w:hAnsi="Times New Roman"/>
          <w:bCs w:val="0"/>
          <w:sz w:val="24"/>
          <w:lang w:val="sr-Cyrl-BA"/>
        </w:rPr>
        <w:t xml:space="preserve">Табела 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begin"/>
      </w:r>
      <w:r w:rsidRPr="000625EB">
        <w:rPr>
          <w:rFonts w:ascii="Times New Roman" w:hAnsi="Times New Roman"/>
          <w:bCs w:val="0"/>
          <w:sz w:val="24"/>
          <w:lang w:val="sr-Cyrl-BA"/>
        </w:rPr>
        <w:instrText xml:space="preserve"> SEQ Табела \* ARABIC </w:instrTex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separate"/>
      </w:r>
      <w:r w:rsidR="00BA5542">
        <w:rPr>
          <w:rFonts w:ascii="Times New Roman" w:hAnsi="Times New Roman"/>
          <w:bCs w:val="0"/>
          <w:noProof/>
          <w:sz w:val="24"/>
          <w:lang w:val="sr-Cyrl-BA"/>
        </w:rPr>
        <w:t>4</w:t>
      </w:r>
      <w:r w:rsidRPr="000625EB">
        <w:rPr>
          <w:rFonts w:ascii="Times New Roman" w:hAnsi="Times New Roman"/>
          <w:bCs w:val="0"/>
          <w:sz w:val="24"/>
          <w:lang w:val="sr-Cyrl-BA"/>
        </w:rPr>
        <w:fldChar w:fldCharType="end"/>
      </w:r>
      <w:r w:rsidRPr="000625EB">
        <w:rPr>
          <w:rFonts w:ascii="Times New Roman" w:hAnsi="Times New Roman"/>
          <w:bCs w:val="0"/>
          <w:sz w:val="24"/>
          <w:lang w:val="sr-Cyrl-BA"/>
        </w:rPr>
        <w:t>.</w:t>
      </w:r>
      <w:r>
        <w:rPr>
          <w:rFonts w:ascii="Times New Roman" w:hAnsi="Times New Roman"/>
          <w:bCs w:val="0"/>
          <w:sz w:val="24"/>
          <w:lang w:val="sr-Cyrl-BA"/>
        </w:rPr>
        <w:tab/>
      </w:r>
      <w:r w:rsidRPr="000625EB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Приходи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и </w:t>
      </w:r>
      <w:r w:rsidRPr="000625EB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расходи Комисије 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у</w:t>
      </w:r>
      <w:r w:rsidRPr="00B96AD3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20</w:t>
      </w:r>
      <w:r w:rsidR="00416A3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505074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и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2</w:t>
      </w:r>
      <w:r w:rsidR="00505074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4</w:t>
      </w:r>
      <w:r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Pr="00EF2AAF">
        <w:rPr>
          <w:rFonts w:ascii="Times New Roman" w:hAnsi="Times New Roman"/>
          <w:color w:val="auto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г</w:t>
      </w:r>
      <w:r w:rsidRPr="00EF2AAF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один</w:t>
      </w:r>
      <w:r w:rsidR="00D00629">
        <w:rPr>
          <w:rFonts w:ascii="Times New Roman" w:hAnsi="Times New Roman"/>
          <w:b w:val="0"/>
          <w:color w:val="auto"/>
          <w:sz w:val="24"/>
          <w:szCs w:val="24"/>
          <w:lang w:val="sr-Cyrl-BA"/>
        </w:rPr>
        <w:t>и</w:t>
      </w:r>
    </w:p>
    <w:sectPr w:rsidR="009F3B90" w:rsidSect="0069056E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4C14B" w14:textId="77777777" w:rsidR="00163B3A" w:rsidRDefault="00163B3A" w:rsidP="00BB7C11">
      <w:pPr>
        <w:spacing w:before="0" w:after="0" w:line="240" w:lineRule="auto"/>
      </w:pPr>
      <w:r>
        <w:separator/>
      </w:r>
    </w:p>
  </w:endnote>
  <w:endnote w:type="continuationSeparator" w:id="0">
    <w:p w14:paraId="385F8635" w14:textId="77777777" w:rsidR="00163B3A" w:rsidRDefault="00163B3A" w:rsidP="00BB7C1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Times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6D84A" w14:textId="77777777" w:rsidR="00163B3A" w:rsidRDefault="00163B3A" w:rsidP="00BB7C11">
      <w:pPr>
        <w:spacing w:before="0" w:after="0" w:line="240" w:lineRule="auto"/>
      </w:pPr>
      <w:r>
        <w:separator/>
      </w:r>
    </w:p>
  </w:footnote>
  <w:footnote w:type="continuationSeparator" w:id="0">
    <w:p w14:paraId="2BA1A4EA" w14:textId="77777777" w:rsidR="00163B3A" w:rsidRDefault="00163B3A" w:rsidP="00BB7C11">
      <w:pPr>
        <w:spacing w:before="0" w:after="0" w:line="240" w:lineRule="auto"/>
      </w:pPr>
      <w:r>
        <w:continuationSeparator/>
      </w:r>
    </w:p>
  </w:footnote>
  <w:footnote w:id="1">
    <w:p w14:paraId="1D3BE25F" w14:textId="4C396D84" w:rsidR="00F9581D" w:rsidRPr="003857FB" w:rsidRDefault="00F9581D" w:rsidP="00F9581D">
      <w:pPr>
        <w:pStyle w:val="FootnoteText"/>
        <w:spacing w:before="0" w:after="0"/>
        <w:contextualSpacing/>
        <w:rPr>
          <w:rFonts w:ascii="Times New Roman" w:hAnsi="Times New Roman"/>
          <w:lang w:val="sr-Latn-BA"/>
        </w:rPr>
      </w:pPr>
      <w:r w:rsidRPr="003857FB">
        <w:rPr>
          <w:rStyle w:val="FootnoteReference"/>
          <w:rFonts w:ascii="Times New Roman" w:hAnsi="Times New Roman"/>
          <w:lang w:val="sr-Latn-BA"/>
        </w:rPr>
        <w:footnoteRef/>
      </w:r>
      <w:r w:rsidRPr="003857FB">
        <w:rPr>
          <w:rFonts w:ascii="Times New Roman" w:hAnsi="Times New Roman"/>
          <w:lang w:val="sr-Latn-BA"/>
        </w:rPr>
        <w:t xml:space="preserve"> </w:t>
      </w:r>
      <w:r w:rsidRPr="003857FB">
        <w:rPr>
          <w:rFonts w:ascii="Times New Roman" w:hAnsi="Times New Roman"/>
          <w:bCs/>
          <w:lang w:val="sr-Latn-BA"/>
        </w:rPr>
        <w:t>„</w:t>
      </w:r>
      <w:r w:rsidR="00CD711F" w:rsidRPr="00CD711F">
        <w:rPr>
          <w:rFonts w:ascii="Times New Roman" w:hAnsi="Times New Roman"/>
          <w:bCs/>
          <w:lang w:val="sr-Latn-BA"/>
        </w:rPr>
        <w:t>Службени гласник Републике Српске“ бр. 92/06, 34/09, 30/12, 59/13, 108/13, 4/17, 63/21, 11/22 и 62/22</w:t>
      </w:r>
      <w:r w:rsidRPr="003857FB">
        <w:rPr>
          <w:rFonts w:ascii="Times New Roman" w:hAnsi="Times New Roman"/>
          <w:bCs/>
          <w:lang w:val="sr-Latn-BA"/>
        </w:rPr>
        <w:t>.</w:t>
      </w:r>
    </w:p>
  </w:footnote>
  <w:footnote w:id="2">
    <w:p w14:paraId="7C512C3C" w14:textId="0C3F1AAD" w:rsidR="006F2417" w:rsidRPr="003857FB" w:rsidRDefault="006F2417" w:rsidP="006F2417">
      <w:pPr>
        <w:pStyle w:val="FootnoteText"/>
        <w:spacing w:before="0" w:after="0" w:line="240" w:lineRule="auto"/>
        <w:rPr>
          <w:rFonts w:ascii="Times New Roman" w:hAnsi="Times New Roman"/>
          <w:lang w:val="sr-Latn-BA"/>
        </w:rPr>
      </w:pPr>
      <w:r w:rsidRPr="003857FB">
        <w:rPr>
          <w:rStyle w:val="FootnoteReference"/>
          <w:rFonts w:ascii="Times New Roman" w:hAnsi="Times New Roman"/>
          <w:lang w:val="sr-Latn-BA"/>
        </w:rPr>
        <w:footnoteRef/>
      </w:r>
      <w:r w:rsidRPr="003857FB">
        <w:rPr>
          <w:rFonts w:ascii="Times New Roman" w:hAnsi="Times New Roman"/>
          <w:lang w:val="sr-Latn-BA"/>
        </w:rPr>
        <w:t xml:space="preserve"> </w:t>
      </w:r>
      <w:r w:rsidR="00CD711F" w:rsidRPr="00CD711F">
        <w:rPr>
          <w:rFonts w:ascii="Times New Roman" w:hAnsi="Times New Roman"/>
          <w:bCs/>
          <w:lang w:val="sr-Latn-BA"/>
        </w:rPr>
        <w:t>Извор: Финансијски извјештаји Комисије</w:t>
      </w:r>
      <w:r w:rsidRPr="003857FB">
        <w:rPr>
          <w:rFonts w:ascii="Times New Roman" w:hAnsi="Times New Roman"/>
          <w:bCs/>
          <w:lang w:val="sr-Latn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3344"/>
    <w:multiLevelType w:val="hybridMultilevel"/>
    <w:tmpl w:val="479A597E"/>
    <w:lvl w:ilvl="0" w:tplc="B43039E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2282F7C">
      <w:numFmt w:val="none"/>
      <w:lvlText w:val=""/>
      <w:lvlJc w:val="left"/>
      <w:pPr>
        <w:tabs>
          <w:tab w:val="num" w:pos="360"/>
        </w:tabs>
      </w:pPr>
    </w:lvl>
    <w:lvl w:ilvl="2" w:tplc="23001AFE">
      <w:numFmt w:val="none"/>
      <w:lvlText w:val=""/>
      <w:lvlJc w:val="left"/>
      <w:pPr>
        <w:tabs>
          <w:tab w:val="num" w:pos="360"/>
        </w:tabs>
      </w:pPr>
    </w:lvl>
    <w:lvl w:ilvl="3" w:tplc="FC2A9106">
      <w:numFmt w:val="none"/>
      <w:lvlText w:val=""/>
      <w:lvlJc w:val="left"/>
      <w:pPr>
        <w:tabs>
          <w:tab w:val="num" w:pos="360"/>
        </w:tabs>
      </w:pPr>
    </w:lvl>
    <w:lvl w:ilvl="4" w:tplc="37B801A8">
      <w:numFmt w:val="none"/>
      <w:lvlText w:val=""/>
      <w:lvlJc w:val="left"/>
      <w:pPr>
        <w:tabs>
          <w:tab w:val="num" w:pos="360"/>
        </w:tabs>
      </w:pPr>
    </w:lvl>
    <w:lvl w:ilvl="5" w:tplc="EAB0161E">
      <w:numFmt w:val="none"/>
      <w:lvlText w:val=""/>
      <w:lvlJc w:val="left"/>
      <w:pPr>
        <w:tabs>
          <w:tab w:val="num" w:pos="360"/>
        </w:tabs>
      </w:pPr>
    </w:lvl>
    <w:lvl w:ilvl="6" w:tplc="02082DF4">
      <w:numFmt w:val="none"/>
      <w:lvlText w:val=""/>
      <w:lvlJc w:val="left"/>
      <w:pPr>
        <w:tabs>
          <w:tab w:val="num" w:pos="360"/>
        </w:tabs>
      </w:pPr>
    </w:lvl>
    <w:lvl w:ilvl="7" w:tplc="421C8FF0">
      <w:numFmt w:val="none"/>
      <w:lvlText w:val=""/>
      <w:lvlJc w:val="left"/>
      <w:pPr>
        <w:tabs>
          <w:tab w:val="num" w:pos="360"/>
        </w:tabs>
      </w:pPr>
    </w:lvl>
    <w:lvl w:ilvl="8" w:tplc="6B40CCA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AC09B5"/>
    <w:multiLevelType w:val="hybridMultilevel"/>
    <w:tmpl w:val="4C42D530"/>
    <w:lvl w:ilvl="0" w:tplc="CCE03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40847"/>
    <w:multiLevelType w:val="hybridMultilevel"/>
    <w:tmpl w:val="5BDA129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D12C8D"/>
    <w:multiLevelType w:val="hybridMultilevel"/>
    <w:tmpl w:val="D9A64896"/>
    <w:lvl w:ilvl="0" w:tplc="3836F48A">
      <w:start w:val="4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 w15:restartNumberingAfterBreak="0">
    <w:nsid w:val="28364F1C"/>
    <w:multiLevelType w:val="hybridMultilevel"/>
    <w:tmpl w:val="9E40A120"/>
    <w:lvl w:ilvl="0" w:tplc="016C06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BC9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9664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A8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A7E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E4EF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00F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E8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D49D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2D247A"/>
    <w:multiLevelType w:val="singleLevel"/>
    <w:tmpl w:val="07405C98"/>
    <w:lvl w:ilvl="0">
      <w:start w:val="5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 w15:restartNumberingAfterBreak="0">
    <w:nsid w:val="37A022E3"/>
    <w:multiLevelType w:val="hybridMultilevel"/>
    <w:tmpl w:val="5F9AEFEE"/>
    <w:lvl w:ilvl="0" w:tplc="CCE039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3F1549CA"/>
    <w:multiLevelType w:val="hybridMultilevel"/>
    <w:tmpl w:val="CD6E8840"/>
    <w:lvl w:ilvl="0" w:tplc="17429A02">
      <w:start w:val="100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54447"/>
    <w:multiLevelType w:val="multilevel"/>
    <w:tmpl w:val="5FC45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4A0036"/>
    <w:multiLevelType w:val="multilevel"/>
    <w:tmpl w:val="5FC45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22401C"/>
    <w:multiLevelType w:val="hybridMultilevel"/>
    <w:tmpl w:val="8B8E5F6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091BC5"/>
    <w:multiLevelType w:val="multilevel"/>
    <w:tmpl w:val="18282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11188E"/>
    <w:multiLevelType w:val="hybridMultilevel"/>
    <w:tmpl w:val="B98EF8E4"/>
    <w:lvl w:ilvl="0" w:tplc="C0F06FD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FA70CE8"/>
    <w:multiLevelType w:val="hybridMultilevel"/>
    <w:tmpl w:val="8B62B724"/>
    <w:lvl w:ilvl="0" w:tplc="88B299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412656">
    <w:abstractNumId w:val="4"/>
  </w:num>
  <w:num w:numId="2" w16cid:durableId="313918353">
    <w:abstractNumId w:val="5"/>
  </w:num>
  <w:num w:numId="3" w16cid:durableId="752898593">
    <w:abstractNumId w:val="2"/>
  </w:num>
  <w:num w:numId="4" w16cid:durableId="1487937636">
    <w:abstractNumId w:val="12"/>
  </w:num>
  <w:num w:numId="5" w16cid:durableId="629634375">
    <w:abstractNumId w:val="0"/>
  </w:num>
  <w:num w:numId="6" w16cid:durableId="1103526085">
    <w:abstractNumId w:val="6"/>
  </w:num>
  <w:num w:numId="7" w16cid:durableId="1702439114">
    <w:abstractNumId w:val="1"/>
  </w:num>
  <w:num w:numId="8" w16cid:durableId="757562329">
    <w:abstractNumId w:val="3"/>
  </w:num>
  <w:num w:numId="9" w16cid:durableId="270018550">
    <w:abstractNumId w:val="13"/>
  </w:num>
  <w:num w:numId="10" w16cid:durableId="249316279">
    <w:abstractNumId w:val="11"/>
  </w:num>
  <w:num w:numId="11" w16cid:durableId="1616711157">
    <w:abstractNumId w:val="8"/>
  </w:num>
  <w:num w:numId="12" w16cid:durableId="41247565">
    <w:abstractNumId w:val="9"/>
  </w:num>
  <w:num w:numId="13" w16cid:durableId="1620602082">
    <w:abstractNumId w:val="7"/>
  </w:num>
  <w:num w:numId="14" w16cid:durableId="3837176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44F"/>
    <w:rsid w:val="00002131"/>
    <w:rsid w:val="000047B8"/>
    <w:rsid w:val="000052A2"/>
    <w:rsid w:val="00007F94"/>
    <w:rsid w:val="0001114E"/>
    <w:rsid w:val="00014D7C"/>
    <w:rsid w:val="00025AAD"/>
    <w:rsid w:val="0003576E"/>
    <w:rsid w:val="00036817"/>
    <w:rsid w:val="00036BF2"/>
    <w:rsid w:val="00037633"/>
    <w:rsid w:val="00040B73"/>
    <w:rsid w:val="00040F47"/>
    <w:rsid w:val="000414AA"/>
    <w:rsid w:val="00054E3D"/>
    <w:rsid w:val="00061A5E"/>
    <w:rsid w:val="00062718"/>
    <w:rsid w:val="0006378B"/>
    <w:rsid w:val="00066797"/>
    <w:rsid w:val="00070F0C"/>
    <w:rsid w:val="0007291B"/>
    <w:rsid w:val="000741D3"/>
    <w:rsid w:val="000747CF"/>
    <w:rsid w:val="00075E8F"/>
    <w:rsid w:val="0007715E"/>
    <w:rsid w:val="000838EA"/>
    <w:rsid w:val="000855CA"/>
    <w:rsid w:val="0009070E"/>
    <w:rsid w:val="0009083A"/>
    <w:rsid w:val="000921A8"/>
    <w:rsid w:val="00092340"/>
    <w:rsid w:val="000A3817"/>
    <w:rsid w:val="000A7E38"/>
    <w:rsid w:val="000B7B32"/>
    <w:rsid w:val="000C33CF"/>
    <w:rsid w:val="000C64B9"/>
    <w:rsid w:val="000D31EE"/>
    <w:rsid w:val="000D5EA5"/>
    <w:rsid w:val="000E63F3"/>
    <w:rsid w:val="000F3663"/>
    <w:rsid w:val="00102156"/>
    <w:rsid w:val="00112C85"/>
    <w:rsid w:val="00116E20"/>
    <w:rsid w:val="00121F73"/>
    <w:rsid w:val="001232D4"/>
    <w:rsid w:val="0013478B"/>
    <w:rsid w:val="001513F3"/>
    <w:rsid w:val="001625FD"/>
    <w:rsid w:val="00163B3A"/>
    <w:rsid w:val="00164525"/>
    <w:rsid w:val="00172126"/>
    <w:rsid w:val="00182F1B"/>
    <w:rsid w:val="001843D6"/>
    <w:rsid w:val="001936A1"/>
    <w:rsid w:val="001A6FD8"/>
    <w:rsid w:val="001B5026"/>
    <w:rsid w:val="001B60BC"/>
    <w:rsid w:val="001B648E"/>
    <w:rsid w:val="001B6D14"/>
    <w:rsid w:val="001D5E80"/>
    <w:rsid w:val="001F4EB5"/>
    <w:rsid w:val="001F6628"/>
    <w:rsid w:val="00200668"/>
    <w:rsid w:val="0021329C"/>
    <w:rsid w:val="00216A7D"/>
    <w:rsid w:val="00216EB9"/>
    <w:rsid w:val="0021719C"/>
    <w:rsid w:val="00225499"/>
    <w:rsid w:val="00233C00"/>
    <w:rsid w:val="00250062"/>
    <w:rsid w:val="0025028D"/>
    <w:rsid w:val="002508F5"/>
    <w:rsid w:val="0025271C"/>
    <w:rsid w:val="00254C0E"/>
    <w:rsid w:val="00257A08"/>
    <w:rsid w:val="0026148C"/>
    <w:rsid w:val="002635F6"/>
    <w:rsid w:val="002650F7"/>
    <w:rsid w:val="00272569"/>
    <w:rsid w:val="00272CAB"/>
    <w:rsid w:val="00274671"/>
    <w:rsid w:val="00276006"/>
    <w:rsid w:val="00276010"/>
    <w:rsid w:val="00276376"/>
    <w:rsid w:val="00282B98"/>
    <w:rsid w:val="002877A7"/>
    <w:rsid w:val="0029793D"/>
    <w:rsid w:val="002A1179"/>
    <w:rsid w:val="002A6B14"/>
    <w:rsid w:val="002A77E0"/>
    <w:rsid w:val="002B2533"/>
    <w:rsid w:val="002B3F04"/>
    <w:rsid w:val="002C2A16"/>
    <w:rsid w:val="002C3DEA"/>
    <w:rsid w:val="002C7612"/>
    <w:rsid w:val="002D0653"/>
    <w:rsid w:val="002D1282"/>
    <w:rsid w:val="002D18DB"/>
    <w:rsid w:val="002D2C10"/>
    <w:rsid w:val="002D35C7"/>
    <w:rsid w:val="002F5002"/>
    <w:rsid w:val="0030105A"/>
    <w:rsid w:val="00303FCB"/>
    <w:rsid w:val="00316E3D"/>
    <w:rsid w:val="00316FD6"/>
    <w:rsid w:val="003172AF"/>
    <w:rsid w:val="00320AA1"/>
    <w:rsid w:val="00340A47"/>
    <w:rsid w:val="003424AA"/>
    <w:rsid w:val="00345313"/>
    <w:rsid w:val="00354C0E"/>
    <w:rsid w:val="00357450"/>
    <w:rsid w:val="00361C5D"/>
    <w:rsid w:val="00374979"/>
    <w:rsid w:val="00381B9F"/>
    <w:rsid w:val="003857FB"/>
    <w:rsid w:val="00395C3E"/>
    <w:rsid w:val="003A0F0C"/>
    <w:rsid w:val="003C134B"/>
    <w:rsid w:val="003C2C63"/>
    <w:rsid w:val="003C3A09"/>
    <w:rsid w:val="003D22DC"/>
    <w:rsid w:val="003D3375"/>
    <w:rsid w:val="003D33B8"/>
    <w:rsid w:val="003D3DEE"/>
    <w:rsid w:val="003E1696"/>
    <w:rsid w:val="003E1F14"/>
    <w:rsid w:val="003F05D7"/>
    <w:rsid w:val="003F0846"/>
    <w:rsid w:val="003F167C"/>
    <w:rsid w:val="003F2802"/>
    <w:rsid w:val="003F3F63"/>
    <w:rsid w:val="0041396B"/>
    <w:rsid w:val="0041526F"/>
    <w:rsid w:val="00416A35"/>
    <w:rsid w:val="0042239D"/>
    <w:rsid w:val="0042255C"/>
    <w:rsid w:val="004228F9"/>
    <w:rsid w:val="004253A9"/>
    <w:rsid w:val="00427F76"/>
    <w:rsid w:val="00430238"/>
    <w:rsid w:val="00441C92"/>
    <w:rsid w:val="00444292"/>
    <w:rsid w:val="004451C7"/>
    <w:rsid w:val="00464B59"/>
    <w:rsid w:val="00466A6B"/>
    <w:rsid w:val="004768DD"/>
    <w:rsid w:val="00481CB7"/>
    <w:rsid w:val="004852B4"/>
    <w:rsid w:val="00485B7B"/>
    <w:rsid w:val="00491DBB"/>
    <w:rsid w:val="004A1EC8"/>
    <w:rsid w:val="004A344E"/>
    <w:rsid w:val="004A41A6"/>
    <w:rsid w:val="004A5785"/>
    <w:rsid w:val="004A6E01"/>
    <w:rsid w:val="004A6ECA"/>
    <w:rsid w:val="004A781F"/>
    <w:rsid w:val="004C4371"/>
    <w:rsid w:val="004C6172"/>
    <w:rsid w:val="004D543F"/>
    <w:rsid w:val="004E7621"/>
    <w:rsid w:val="004F0441"/>
    <w:rsid w:val="004F1054"/>
    <w:rsid w:val="004F3F63"/>
    <w:rsid w:val="004F5505"/>
    <w:rsid w:val="004F6593"/>
    <w:rsid w:val="004F65DF"/>
    <w:rsid w:val="00505074"/>
    <w:rsid w:val="005075C4"/>
    <w:rsid w:val="00510F4B"/>
    <w:rsid w:val="005150EC"/>
    <w:rsid w:val="00515F8E"/>
    <w:rsid w:val="005249B9"/>
    <w:rsid w:val="005556B2"/>
    <w:rsid w:val="00562632"/>
    <w:rsid w:val="00565094"/>
    <w:rsid w:val="005700BD"/>
    <w:rsid w:val="00570ED0"/>
    <w:rsid w:val="005730BA"/>
    <w:rsid w:val="00574594"/>
    <w:rsid w:val="00577242"/>
    <w:rsid w:val="0058158F"/>
    <w:rsid w:val="00585D8F"/>
    <w:rsid w:val="005909D4"/>
    <w:rsid w:val="005911F0"/>
    <w:rsid w:val="005A1290"/>
    <w:rsid w:val="005A1685"/>
    <w:rsid w:val="005A5396"/>
    <w:rsid w:val="005A6A94"/>
    <w:rsid w:val="005B7960"/>
    <w:rsid w:val="005B7C99"/>
    <w:rsid w:val="005C44B6"/>
    <w:rsid w:val="005C569C"/>
    <w:rsid w:val="005C6155"/>
    <w:rsid w:val="005C6CEE"/>
    <w:rsid w:val="005E407F"/>
    <w:rsid w:val="005F0DBD"/>
    <w:rsid w:val="005F6DE7"/>
    <w:rsid w:val="005F7EC0"/>
    <w:rsid w:val="0060373F"/>
    <w:rsid w:val="00607BFB"/>
    <w:rsid w:val="006170B6"/>
    <w:rsid w:val="00636496"/>
    <w:rsid w:val="00636E41"/>
    <w:rsid w:val="00641D8D"/>
    <w:rsid w:val="00651E83"/>
    <w:rsid w:val="00655DA0"/>
    <w:rsid w:val="00663572"/>
    <w:rsid w:val="00665370"/>
    <w:rsid w:val="006674EE"/>
    <w:rsid w:val="0067070D"/>
    <w:rsid w:val="00671282"/>
    <w:rsid w:val="00676F93"/>
    <w:rsid w:val="00680663"/>
    <w:rsid w:val="006836C9"/>
    <w:rsid w:val="00683F33"/>
    <w:rsid w:val="00686FFC"/>
    <w:rsid w:val="0069056E"/>
    <w:rsid w:val="006909C9"/>
    <w:rsid w:val="00695D4C"/>
    <w:rsid w:val="006A1826"/>
    <w:rsid w:val="006A4C19"/>
    <w:rsid w:val="006B345B"/>
    <w:rsid w:val="006C172D"/>
    <w:rsid w:val="006C7798"/>
    <w:rsid w:val="006D1699"/>
    <w:rsid w:val="006D2215"/>
    <w:rsid w:val="006E38A9"/>
    <w:rsid w:val="006E525C"/>
    <w:rsid w:val="006E6A02"/>
    <w:rsid w:val="006F2417"/>
    <w:rsid w:val="006F3063"/>
    <w:rsid w:val="006F5399"/>
    <w:rsid w:val="007043ED"/>
    <w:rsid w:val="00705D27"/>
    <w:rsid w:val="00711ABA"/>
    <w:rsid w:val="00717FD6"/>
    <w:rsid w:val="00720C03"/>
    <w:rsid w:val="0072397D"/>
    <w:rsid w:val="00733C71"/>
    <w:rsid w:val="00734E67"/>
    <w:rsid w:val="00752648"/>
    <w:rsid w:val="007554F0"/>
    <w:rsid w:val="00755D68"/>
    <w:rsid w:val="0076181C"/>
    <w:rsid w:val="0078054A"/>
    <w:rsid w:val="00790181"/>
    <w:rsid w:val="0079742C"/>
    <w:rsid w:val="007A1A2C"/>
    <w:rsid w:val="007A2467"/>
    <w:rsid w:val="007B27B3"/>
    <w:rsid w:val="007B4EDB"/>
    <w:rsid w:val="007B7B14"/>
    <w:rsid w:val="007C0E25"/>
    <w:rsid w:val="007C53E6"/>
    <w:rsid w:val="007D2C7E"/>
    <w:rsid w:val="007D7332"/>
    <w:rsid w:val="007E5BD3"/>
    <w:rsid w:val="007E6A48"/>
    <w:rsid w:val="007E74DE"/>
    <w:rsid w:val="007F1001"/>
    <w:rsid w:val="007F4896"/>
    <w:rsid w:val="007F6914"/>
    <w:rsid w:val="00800E69"/>
    <w:rsid w:val="008028C0"/>
    <w:rsid w:val="00802F6C"/>
    <w:rsid w:val="00822643"/>
    <w:rsid w:val="00835894"/>
    <w:rsid w:val="008433FE"/>
    <w:rsid w:val="008456CA"/>
    <w:rsid w:val="00846EA4"/>
    <w:rsid w:val="00851A3D"/>
    <w:rsid w:val="008550B2"/>
    <w:rsid w:val="00864DDC"/>
    <w:rsid w:val="00885645"/>
    <w:rsid w:val="008910C3"/>
    <w:rsid w:val="00893A22"/>
    <w:rsid w:val="0089624D"/>
    <w:rsid w:val="008A02BD"/>
    <w:rsid w:val="008B102C"/>
    <w:rsid w:val="008D77B1"/>
    <w:rsid w:val="008D7FC3"/>
    <w:rsid w:val="008E5FEC"/>
    <w:rsid w:val="008E6152"/>
    <w:rsid w:val="008E6452"/>
    <w:rsid w:val="008E7AE8"/>
    <w:rsid w:val="008F5683"/>
    <w:rsid w:val="0090274C"/>
    <w:rsid w:val="009069F5"/>
    <w:rsid w:val="009116DB"/>
    <w:rsid w:val="00912A0F"/>
    <w:rsid w:val="00915B74"/>
    <w:rsid w:val="0092044F"/>
    <w:rsid w:val="00920795"/>
    <w:rsid w:val="0092200A"/>
    <w:rsid w:val="00923F3F"/>
    <w:rsid w:val="00926D83"/>
    <w:rsid w:val="00927EF8"/>
    <w:rsid w:val="00931022"/>
    <w:rsid w:val="00931659"/>
    <w:rsid w:val="009424F7"/>
    <w:rsid w:val="0095496C"/>
    <w:rsid w:val="00955D8B"/>
    <w:rsid w:val="00957EC9"/>
    <w:rsid w:val="00965888"/>
    <w:rsid w:val="00977B2C"/>
    <w:rsid w:val="00980662"/>
    <w:rsid w:val="0098272B"/>
    <w:rsid w:val="009908A1"/>
    <w:rsid w:val="00990CD6"/>
    <w:rsid w:val="009941EF"/>
    <w:rsid w:val="009A10FC"/>
    <w:rsid w:val="009A2436"/>
    <w:rsid w:val="009A2470"/>
    <w:rsid w:val="009A6387"/>
    <w:rsid w:val="009A7BE4"/>
    <w:rsid w:val="009B0557"/>
    <w:rsid w:val="009D196F"/>
    <w:rsid w:val="009E0BB5"/>
    <w:rsid w:val="009E113D"/>
    <w:rsid w:val="009E4CBD"/>
    <w:rsid w:val="009E5E92"/>
    <w:rsid w:val="009F0850"/>
    <w:rsid w:val="009F3081"/>
    <w:rsid w:val="009F3B90"/>
    <w:rsid w:val="009F4EDE"/>
    <w:rsid w:val="00A06242"/>
    <w:rsid w:val="00A119E7"/>
    <w:rsid w:val="00A1211C"/>
    <w:rsid w:val="00A234AF"/>
    <w:rsid w:val="00A258E7"/>
    <w:rsid w:val="00A3188F"/>
    <w:rsid w:val="00A43AA3"/>
    <w:rsid w:val="00A441DA"/>
    <w:rsid w:val="00A44DC5"/>
    <w:rsid w:val="00A47B16"/>
    <w:rsid w:val="00A53CE1"/>
    <w:rsid w:val="00A7540C"/>
    <w:rsid w:val="00A864A5"/>
    <w:rsid w:val="00A87E3A"/>
    <w:rsid w:val="00AB36E2"/>
    <w:rsid w:val="00AC3D2C"/>
    <w:rsid w:val="00AC4BAC"/>
    <w:rsid w:val="00AD069B"/>
    <w:rsid w:val="00AD115E"/>
    <w:rsid w:val="00AE063F"/>
    <w:rsid w:val="00AF6727"/>
    <w:rsid w:val="00AF7624"/>
    <w:rsid w:val="00B005C1"/>
    <w:rsid w:val="00B05067"/>
    <w:rsid w:val="00B0620C"/>
    <w:rsid w:val="00B0730D"/>
    <w:rsid w:val="00B11846"/>
    <w:rsid w:val="00B266AC"/>
    <w:rsid w:val="00B3131C"/>
    <w:rsid w:val="00B31EE3"/>
    <w:rsid w:val="00B35336"/>
    <w:rsid w:val="00B40043"/>
    <w:rsid w:val="00B42096"/>
    <w:rsid w:val="00B550B6"/>
    <w:rsid w:val="00B66483"/>
    <w:rsid w:val="00B675BA"/>
    <w:rsid w:val="00B75EE4"/>
    <w:rsid w:val="00B7671B"/>
    <w:rsid w:val="00B811B7"/>
    <w:rsid w:val="00B83087"/>
    <w:rsid w:val="00B85722"/>
    <w:rsid w:val="00B94D22"/>
    <w:rsid w:val="00B961C0"/>
    <w:rsid w:val="00BA41B6"/>
    <w:rsid w:val="00BA5542"/>
    <w:rsid w:val="00BA6E79"/>
    <w:rsid w:val="00BB1CC8"/>
    <w:rsid w:val="00BB7C11"/>
    <w:rsid w:val="00BC5E4B"/>
    <w:rsid w:val="00BC6D2A"/>
    <w:rsid w:val="00BD07C5"/>
    <w:rsid w:val="00BD5C16"/>
    <w:rsid w:val="00BE1F75"/>
    <w:rsid w:val="00BE6782"/>
    <w:rsid w:val="00BE72F8"/>
    <w:rsid w:val="00BF440E"/>
    <w:rsid w:val="00BF63EA"/>
    <w:rsid w:val="00C01FDF"/>
    <w:rsid w:val="00C055EB"/>
    <w:rsid w:val="00C11145"/>
    <w:rsid w:val="00C120AA"/>
    <w:rsid w:val="00C15254"/>
    <w:rsid w:val="00C167A3"/>
    <w:rsid w:val="00C261B9"/>
    <w:rsid w:val="00C338AF"/>
    <w:rsid w:val="00C33AE8"/>
    <w:rsid w:val="00C5097D"/>
    <w:rsid w:val="00C512BD"/>
    <w:rsid w:val="00C57911"/>
    <w:rsid w:val="00C70267"/>
    <w:rsid w:val="00C73466"/>
    <w:rsid w:val="00C74422"/>
    <w:rsid w:val="00C76CF7"/>
    <w:rsid w:val="00C81FF2"/>
    <w:rsid w:val="00C9519C"/>
    <w:rsid w:val="00CA4AC9"/>
    <w:rsid w:val="00CA5311"/>
    <w:rsid w:val="00CB7E47"/>
    <w:rsid w:val="00CC2002"/>
    <w:rsid w:val="00CC216E"/>
    <w:rsid w:val="00CC2A8E"/>
    <w:rsid w:val="00CC55DF"/>
    <w:rsid w:val="00CC5AE8"/>
    <w:rsid w:val="00CD711F"/>
    <w:rsid w:val="00CE3486"/>
    <w:rsid w:val="00CF0658"/>
    <w:rsid w:val="00CF3CC5"/>
    <w:rsid w:val="00CF4C2E"/>
    <w:rsid w:val="00D00629"/>
    <w:rsid w:val="00D00CBE"/>
    <w:rsid w:val="00D056C5"/>
    <w:rsid w:val="00D066EF"/>
    <w:rsid w:val="00D10F8D"/>
    <w:rsid w:val="00D14FB4"/>
    <w:rsid w:val="00D21B3F"/>
    <w:rsid w:val="00D23A29"/>
    <w:rsid w:val="00D31EE7"/>
    <w:rsid w:val="00D35C90"/>
    <w:rsid w:val="00D406EA"/>
    <w:rsid w:val="00D41A03"/>
    <w:rsid w:val="00D54907"/>
    <w:rsid w:val="00D60E72"/>
    <w:rsid w:val="00D63737"/>
    <w:rsid w:val="00D6526E"/>
    <w:rsid w:val="00D672DD"/>
    <w:rsid w:val="00D67F74"/>
    <w:rsid w:val="00D76677"/>
    <w:rsid w:val="00D77190"/>
    <w:rsid w:val="00D838E1"/>
    <w:rsid w:val="00DA0BE4"/>
    <w:rsid w:val="00DB61D1"/>
    <w:rsid w:val="00DC1D34"/>
    <w:rsid w:val="00DC527C"/>
    <w:rsid w:val="00DD43A6"/>
    <w:rsid w:val="00DE1690"/>
    <w:rsid w:val="00DE2F32"/>
    <w:rsid w:val="00DE3769"/>
    <w:rsid w:val="00DE44B0"/>
    <w:rsid w:val="00DE5655"/>
    <w:rsid w:val="00DF05A3"/>
    <w:rsid w:val="00DF7C06"/>
    <w:rsid w:val="00E26C3D"/>
    <w:rsid w:val="00E30790"/>
    <w:rsid w:val="00E37995"/>
    <w:rsid w:val="00E462A5"/>
    <w:rsid w:val="00E4784F"/>
    <w:rsid w:val="00E52B77"/>
    <w:rsid w:val="00E62E61"/>
    <w:rsid w:val="00E63ED4"/>
    <w:rsid w:val="00E64616"/>
    <w:rsid w:val="00E7007F"/>
    <w:rsid w:val="00E70933"/>
    <w:rsid w:val="00E83989"/>
    <w:rsid w:val="00E859D9"/>
    <w:rsid w:val="00E91E8A"/>
    <w:rsid w:val="00EA3AF7"/>
    <w:rsid w:val="00EA413B"/>
    <w:rsid w:val="00EA7B9D"/>
    <w:rsid w:val="00EB34E9"/>
    <w:rsid w:val="00EB67E0"/>
    <w:rsid w:val="00EC2B2B"/>
    <w:rsid w:val="00EC6DE0"/>
    <w:rsid w:val="00EC7A73"/>
    <w:rsid w:val="00ED1E5C"/>
    <w:rsid w:val="00ED49C7"/>
    <w:rsid w:val="00EE3475"/>
    <w:rsid w:val="00EF321C"/>
    <w:rsid w:val="00EF5F61"/>
    <w:rsid w:val="00F05E76"/>
    <w:rsid w:val="00F070D1"/>
    <w:rsid w:val="00F073DF"/>
    <w:rsid w:val="00F109D5"/>
    <w:rsid w:val="00F1748B"/>
    <w:rsid w:val="00F24C4A"/>
    <w:rsid w:val="00F319AE"/>
    <w:rsid w:val="00F35A81"/>
    <w:rsid w:val="00F35D21"/>
    <w:rsid w:val="00F37C75"/>
    <w:rsid w:val="00F43574"/>
    <w:rsid w:val="00F44762"/>
    <w:rsid w:val="00F46AF9"/>
    <w:rsid w:val="00F521CA"/>
    <w:rsid w:val="00F573D7"/>
    <w:rsid w:val="00F660CB"/>
    <w:rsid w:val="00F66854"/>
    <w:rsid w:val="00F670EF"/>
    <w:rsid w:val="00F7055B"/>
    <w:rsid w:val="00F83E80"/>
    <w:rsid w:val="00F83FA4"/>
    <w:rsid w:val="00F86C4B"/>
    <w:rsid w:val="00F87129"/>
    <w:rsid w:val="00F94C63"/>
    <w:rsid w:val="00F9581D"/>
    <w:rsid w:val="00F95900"/>
    <w:rsid w:val="00F969AC"/>
    <w:rsid w:val="00FA02BE"/>
    <w:rsid w:val="00FA049C"/>
    <w:rsid w:val="00FA06C0"/>
    <w:rsid w:val="00FA3FCC"/>
    <w:rsid w:val="00FA49D9"/>
    <w:rsid w:val="00FB3E1A"/>
    <w:rsid w:val="00FB6DFB"/>
    <w:rsid w:val="00FC2624"/>
    <w:rsid w:val="00FC46D8"/>
    <w:rsid w:val="00FD12AD"/>
    <w:rsid w:val="00FD4A48"/>
    <w:rsid w:val="00FE3AB4"/>
    <w:rsid w:val="00FF0EC7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6FED8"/>
  <w15:docId w15:val="{3F28ABFF-E0A6-41D1-B23B-6A790371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A02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A0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A02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6A02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E6A02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A02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6A02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E6A02"/>
    <w:pPr>
      <w:spacing w:before="300" w:after="0"/>
      <w:outlineLvl w:val="6"/>
    </w:pPr>
    <w:rPr>
      <w:caps/>
      <w:color w:val="365F91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E6A02"/>
    <w:pPr>
      <w:spacing w:before="300" w:after="0"/>
      <w:outlineLvl w:val="7"/>
    </w:pPr>
    <w:rPr>
      <w:caps/>
      <w:spacing w:val="10"/>
      <w:sz w:val="18"/>
      <w:szCs w:val="18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A02"/>
    <w:pPr>
      <w:spacing w:before="300" w:after="0"/>
      <w:outlineLvl w:val="8"/>
    </w:pPr>
    <w:rPr>
      <w:i/>
      <w:caps/>
      <w:spacing w:val="10"/>
      <w:sz w:val="18"/>
      <w:szCs w:val="1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pPr>
      <w:jc w:val="both"/>
    </w:pPr>
    <w:rPr>
      <w:rFonts w:ascii="Tahoma" w:hAnsi="Tahoma"/>
      <w:i/>
      <w:lang w:val="sr-Cyrl-CS"/>
    </w:rPr>
  </w:style>
  <w:style w:type="paragraph" w:styleId="BodyText">
    <w:name w:val="Body Text"/>
    <w:basedOn w:val="Normal"/>
    <w:pPr>
      <w:jc w:val="both"/>
    </w:pPr>
    <w:rPr>
      <w:lang w:val="sr-Cyrl-CS"/>
    </w:rPr>
  </w:style>
  <w:style w:type="paragraph" w:styleId="BodyText2">
    <w:name w:val="Body Text 2"/>
    <w:basedOn w:val="Normal"/>
    <w:rPr>
      <w:b/>
      <w:lang w:val="sr-Cyrl-CS"/>
    </w:rPr>
  </w:style>
  <w:style w:type="paragraph" w:styleId="Footer">
    <w:name w:val="footer"/>
    <w:basedOn w:val="Normal"/>
    <w:rsid w:val="00A3188F"/>
    <w:pPr>
      <w:tabs>
        <w:tab w:val="center" w:pos="4320"/>
        <w:tab w:val="right" w:pos="8640"/>
      </w:tabs>
    </w:pPr>
    <w:rPr>
      <w:rFonts w:ascii="Arial Narrow" w:hAnsi="Arial Narrow" w:cs="Courier New"/>
    </w:rPr>
  </w:style>
  <w:style w:type="paragraph" w:styleId="FootnoteText">
    <w:name w:val="footnote text"/>
    <w:basedOn w:val="Normal"/>
    <w:link w:val="FootnoteTextChar"/>
    <w:semiHidden/>
    <w:rsid w:val="00A3188F"/>
    <w:rPr>
      <w:rFonts w:ascii="HTimes" w:hAnsi="HTimes"/>
    </w:rPr>
  </w:style>
  <w:style w:type="table" w:styleId="TableGrid">
    <w:name w:val="Table Grid"/>
    <w:basedOn w:val="TableNormal"/>
    <w:rsid w:val="002F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6E6A02"/>
    <w:rPr>
      <w:rFonts w:ascii="Tahoma" w:hAnsi="Tahoma"/>
      <w:sz w:val="16"/>
      <w:szCs w:val="16"/>
      <w:lang w:bidi="ar-SA"/>
    </w:rPr>
  </w:style>
  <w:style w:type="character" w:customStyle="1" w:styleId="DocumentMapChar">
    <w:name w:val="Document Map Char"/>
    <w:link w:val="DocumentMap"/>
    <w:rsid w:val="006E6A02"/>
    <w:rPr>
      <w:rFonts w:ascii="Tahoma" w:hAnsi="Tahoma" w:cs="Tahoma"/>
      <w:sz w:val="16"/>
      <w:szCs w:val="16"/>
      <w:lang w:val="en-US" w:eastAsia="en-US"/>
    </w:rPr>
  </w:style>
  <w:style w:type="character" w:styleId="BookTitle">
    <w:name w:val="Book Title"/>
    <w:uiPriority w:val="33"/>
    <w:qFormat/>
    <w:rsid w:val="006E6A02"/>
    <w:rPr>
      <w:b/>
      <w:bCs/>
      <w:i/>
      <w:iCs/>
      <w:spacing w:val="9"/>
    </w:rPr>
  </w:style>
  <w:style w:type="character" w:styleId="Hyperlink">
    <w:name w:val="Hyperlink"/>
    <w:uiPriority w:val="99"/>
    <w:unhideWhenUsed/>
    <w:rsid w:val="006E6A0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E6A02"/>
    <w:pPr>
      <w:spacing w:before="720"/>
    </w:pPr>
    <w:rPr>
      <w:caps/>
      <w:color w:val="4F81BD"/>
      <w:spacing w:val="10"/>
      <w:kern w:val="28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6E6A02"/>
    <w:rPr>
      <w:caps/>
      <w:color w:val="4F81BD"/>
      <w:spacing w:val="10"/>
      <w:kern w:val="28"/>
      <w:sz w:val="52"/>
      <w:szCs w:val="52"/>
    </w:rPr>
  </w:style>
  <w:style w:type="paragraph" w:styleId="NoSpacing">
    <w:name w:val="No Spacing"/>
    <w:basedOn w:val="Normal"/>
    <w:link w:val="NoSpacingChar"/>
    <w:uiPriority w:val="1"/>
    <w:qFormat/>
    <w:rsid w:val="006E6A02"/>
    <w:pPr>
      <w:spacing w:before="0" w:after="0" w:line="240" w:lineRule="auto"/>
    </w:pPr>
    <w:rPr>
      <w:lang w:bidi="ar-SA"/>
    </w:rPr>
  </w:style>
  <w:style w:type="character" w:customStyle="1" w:styleId="NoSpacingChar">
    <w:name w:val="No Spacing Char"/>
    <w:link w:val="NoSpacing"/>
    <w:uiPriority w:val="1"/>
    <w:rsid w:val="006E6A02"/>
    <w:rPr>
      <w:sz w:val="20"/>
      <w:szCs w:val="20"/>
    </w:rPr>
  </w:style>
  <w:style w:type="table" w:customStyle="1" w:styleId="LightList-Accent14">
    <w:name w:val="Light List - Accent 14"/>
    <w:basedOn w:val="TableNormal"/>
    <w:uiPriority w:val="61"/>
    <w:rsid w:val="006E6A02"/>
    <w:rPr>
      <w:rFonts w:ascii="Cambria" w:eastAsia="Calibri" w:hAnsi="Cambria"/>
      <w:sz w:val="24"/>
      <w:szCs w:val="24"/>
      <w:lang w:val="en-A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Heading1Char">
    <w:name w:val="Heading 1 Char"/>
    <w:link w:val="Heading1"/>
    <w:uiPriority w:val="9"/>
    <w:rsid w:val="006E6A02"/>
    <w:rPr>
      <w:b/>
      <w:bCs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link w:val="Heading2"/>
    <w:uiPriority w:val="9"/>
    <w:rsid w:val="006E6A02"/>
    <w:rPr>
      <w:caps/>
      <w:spacing w:val="15"/>
      <w:shd w:val="clear" w:color="auto" w:fill="DBE5F1"/>
    </w:rPr>
  </w:style>
  <w:style w:type="character" w:customStyle="1" w:styleId="Heading3Char">
    <w:name w:val="Heading 3 Char"/>
    <w:link w:val="Heading3"/>
    <w:uiPriority w:val="9"/>
    <w:rsid w:val="006E6A02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rsid w:val="006E6A02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6E6A02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rsid w:val="006E6A02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rsid w:val="006E6A02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rsid w:val="006E6A02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6E6A0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6E6A02"/>
    <w:rPr>
      <w:b/>
      <w:bCs/>
      <w:color w:val="365F91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A02"/>
    <w:pPr>
      <w:spacing w:after="1000" w:line="240" w:lineRule="auto"/>
    </w:pPr>
    <w:rPr>
      <w:caps/>
      <w:color w:val="595959"/>
      <w:spacing w:val="10"/>
      <w:sz w:val="24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6E6A02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6E6A02"/>
    <w:rPr>
      <w:b/>
      <w:bCs/>
    </w:rPr>
  </w:style>
  <w:style w:type="character" w:styleId="Emphasis">
    <w:name w:val="Emphasis"/>
    <w:uiPriority w:val="20"/>
    <w:qFormat/>
    <w:rsid w:val="006E6A02"/>
    <w:rPr>
      <w:caps/>
      <w:color w:val="243F60"/>
      <w:spacing w:val="5"/>
    </w:rPr>
  </w:style>
  <w:style w:type="paragraph" w:styleId="ListParagraph">
    <w:name w:val="List Paragraph"/>
    <w:basedOn w:val="Normal"/>
    <w:uiPriority w:val="34"/>
    <w:qFormat/>
    <w:rsid w:val="006E6A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E6A02"/>
    <w:rPr>
      <w:i/>
      <w:iCs/>
      <w:lang w:bidi="ar-SA"/>
    </w:rPr>
  </w:style>
  <w:style w:type="character" w:customStyle="1" w:styleId="QuoteChar">
    <w:name w:val="Quote Char"/>
    <w:link w:val="Quote"/>
    <w:uiPriority w:val="29"/>
    <w:rsid w:val="006E6A0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A02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bidi="ar-SA"/>
    </w:rPr>
  </w:style>
  <w:style w:type="character" w:customStyle="1" w:styleId="IntenseQuoteChar">
    <w:name w:val="Intense Quote Char"/>
    <w:link w:val="IntenseQuote"/>
    <w:uiPriority w:val="30"/>
    <w:rsid w:val="006E6A02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6E6A02"/>
    <w:rPr>
      <w:i/>
      <w:iCs/>
      <w:color w:val="243F60"/>
    </w:rPr>
  </w:style>
  <w:style w:type="character" w:styleId="IntenseEmphasis">
    <w:name w:val="Intense Emphasis"/>
    <w:uiPriority w:val="21"/>
    <w:qFormat/>
    <w:rsid w:val="006E6A02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6E6A02"/>
    <w:rPr>
      <w:b/>
      <w:bCs/>
      <w:color w:val="4F81BD"/>
    </w:rPr>
  </w:style>
  <w:style w:type="character" w:styleId="IntenseReference">
    <w:name w:val="Intense Reference"/>
    <w:uiPriority w:val="32"/>
    <w:qFormat/>
    <w:rsid w:val="006E6A02"/>
    <w:rPr>
      <w:b/>
      <w:bCs/>
      <w:i/>
      <w:iCs/>
      <w:caps/>
      <w:color w:val="4F81B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6A02"/>
    <w:pPr>
      <w:outlineLvl w:val="9"/>
    </w:pPr>
  </w:style>
  <w:style w:type="character" w:styleId="FootnoteReference">
    <w:name w:val="footnote reference"/>
    <w:rsid w:val="00BB7C11"/>
    <w:rPr>
      <w:vertAlign w:val="superscript"/>
    </w:rPr>
  </w:style>
  <w:style w:type="character" w:styleId="CommentReference">
    <w:name w:val="annotation reference"/>
    <w:rsid w:val="00CF3C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3CC5"/>
  </w:style>
  <w:style w:type="character" w:customStyle="1" w:styleId="CommentTextChar">
    <w:name w:val="Comment Text Char"/>
    <w:link w:val="CommentText"/>
    <w:rsid w:val="00CF3CC5"/>
    <w:rPr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rsid w:val="00CF3CC5"/>
    <w:rPr>
      <w:b/>
      <w:bCs/>
    </w:rPr>
  </w:style>
  <w:style w:type="character" w:customStyle="1" w:styleId="CommentSubjectChar">
    <w:name w:val="Comment Subject Char"/>
    <w:link w:val="CommentSubject"/>
    <w:rsid w:val="00CF3CC5"/>
    <w:rPr>
      <w:b/>
      <w:bCs/>
      <w:lang w:val="en-US" w:eastAsia="en-US" w:bidi="en-US"/>
    </w:rPr>
  </w:style>
  <w:style w:type="paragraph" w:styleId="BalloonText">
    <w:name w:val="Balloon Text"/>
    <w:basedOn w:val="Normal"/>
    <w:link w:val="BalloonTextChar"/>
    <w:rsid w:val="00CF3CC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F3CC5"/>
    <w:rPr>
      <w:rFonts w:ascii="Tahoma" w:hAnsi="Tahoma" w:cs="Tahoma"/>
      <w:sz w:val="16"/>
      <w:szCs w:val="16"/>
      <w:lang w:val="en-US" w:eastAsia="en-US" w:bidi="en-US"/>
    </w:rPr>
  </w:style>
  <w:style w:type="paragraph" w:styleId="Revision">
    <w:name w:val="Revision"/>
    <w:hidden/>
    <w:uiPriority w:val="99"/>
    <w:semiHidden/>
    <w:rsid w:val="00BD07C5"/>
    <w:rPr>
      <w:lang w:bidi="en-US"/>
    </w:rPr>
  </w:style>
  <w:style w:type="table" w:styleId="LightGrid-Accent1">
    <w:name w:val="Light Grid Accent 1"/>
    <w:basedOn w:val="TableNormal"/>
    <w:uiPriority w:val="62"/>
    <w:rsid w:val="006F241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otnoteTextChar">
    <w:name w:val="Footnote Text Char"/>
    <w:basedOn w:val="DefaultParagraphFont"/>
    <w:link w:val="FootnoteText"/>
    <w:semiHidden/>
    <w:rsid w:val="00F9581D"/>
    <w:rPr>
      <w:rFonts w:ascii="HTimes" w:hAnsi="HTime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hyperlink" Target="http://www.secrs.gov.ba/Izvjestaj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%20o%20radu\IR%202024\10%20Radna%20sveska%20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%20o%20radu\IR%202024\10%20Radna%20sveska%20202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6985478272031819E-2"/>
          <c:y val="3.2327217156519268E-2"/>
          <c:w val="0.88258471463179489"/>
          <c:h val="0.7372897825036701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'FI 25'!$B$27</c:f>
              <c:strCache>
                <c:ptCount val="1"/>
                <c:pt idx="0">
                  <c:v>Остварење 2024.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'FI 25'!$A$28:$A$37</c:f>
              <c:strCache>
                <c:ptCount val="10"/>
                <c:pt idx="0">
                  <c:v>Приходи од испита</c:v>
                </c:pt>
                <c:pt idx="1">
                  <c:v>Приходи од накнада за емисију</c:v>
                </c:pt>
                <c:pt idx="2">
                  <c:v>Приходи од надзора</c:v>
                </c:pt>
                <c:pt idx="3">
                  <c:v>Приходи од накнада за оснивање и рад овлаштених учесника</c:v>
                </c:pt>
                <c:pt idx="4">
                  <c:v>Приходи од накнада за оснивање и рад ДУИФ и ИФ</c:v>
                </c:pt>
                <c:pt idx="5">
                  <c:v>Приходи од накнада за преузимање</c:v>
                </c:pt>
                <c:pt idx="6">
                  <c:v>Приходи од накнада за РЕ</c:v>
                </c:pt>
                <c:pt idx="7">
                  <c:v>Приходи од камата</c:v>
                </c:pt>
                <c:pt idx="8">
                  <c:v>Приходи од промјене правне форме</c:v>
                </c:pt>
                <c:pt idx="9">
                  <c:v>Остали приходи у складу са Тарифом накнада (упити..)</c:v>
                </c:pt>
              </c:strCache>
            </c:strRef>
          </c:cat>
          <c:val>
            <c:numRef>
              <c:f>'FI 25'!$B$28:$B$37</c:f>
              <c:numCache>
                <c:formatCode>#,##0</c:formatCode>
                <c:ptCount val="10"/>
                <c:pt idx="0" formatCode="General">
                  <c:v>0</c:v>
                </c:pt>
                <c:pt idx="1">
                  <c:v>964708</c:v>
                </c:pt>
                <c:pt idx="2">
                  <c:v>570193</c:v>
                </c:pt>
                <c:pt idx="3">
                  <c:v>55300</c:v>
                </c:pt>
                <c:pt idx="4">
                  <c:v>51000</c:v>
                </c:pt>
                <c:pt idx="5">
                  <c:v>106506</c:v>
                </c:pt>
                <c:pt idx="6">
                  <c:v>8400</c:v>
                </c:pt>
                <c:pt idx="7">
                  <c:v>16610</c:v>
                </c:pt>
                <c:pt idx="8">
                  <c:v>15000</c:v>
                </c:pt>
                <c:pt idx="9">
                  <c:v>3470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A5-4602-9666-3C08A7E66A2E}"/>
            </c:ext>
          </c:extLst>
        </c:ser>
        <c:ser>
          <c:idx val="1"/>
          <c:order val="1"/>
          <c:tx>
            <c:strRef>
              <c:f>'FI 25'!$C$27</c:f>
              <c:strCache>
                <c:ptCount val="1"/>
                <c:pt idx="0">
                  <c:v>Остварење 2023.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'FI 25'!$A$28:$A$37</c:f>
              <c:strCache>
                <c:ptCount val="10"/>
                <c:pt idx="0">
                  <c:v>Приходи од испита</c:v>
                </c:pt>
                <c:pt idx="1">
                  <c:v>Приходи од накнада за емисију</c:v>
                </c:pt>
                <c:pt idx="2">
                  <c:v>Приходи од надзора</c:v>
                </c:pt>
                <c:pt idx="3">
                  <c:v>Приходи од накнада за оснивање и рад овлаштених учесника</c:v>
                </c:pt>
                <c:pt idx="4">
                  <c:v>Приходи од накнада за оснивање и рад ДУИФ и ИФ</c:v>
                </c:pt>
                <c:pt idx="5">
                  <c:v>Приходи од накнада за преузимање</c:v>
                </c:pt>
                <c:pt idx="6">
                  <c:v>Приходи од накнада за РЕ</c:v>
                </c:pt>
                <c:pt idx="7">
                  <c:v>Приходи од камата</c:v>
                </c:pt>
                <c:pt idx="8">
                  <c:v>Приходи од промјене правне форме</c:v>
                </c:pt>
                <c:pt idx="9">
                  <c:v>Остали приходи у складу са Тарифом накнада (упити..)</c:v>
                </c:pt>
              </c:strCache>
            </c:strRef>
          </c:cat>
          <c:val>
            <c:numRef>
              <c:f>'FI 25'!$C$28:$C$37</c:f>
              <c:numCache>
                <c:formatCode>#,##0</c:formatCode>
                <c:ptCount val="10"/>
                <c:pt idx="0">
                  <c:v>1300</c:v>
                </c:pt>
                <c:pt idx="1">
                  <c:v>85262</c:v>
                </c:pt>
                <c:pt idx="2">
                  <c:v>605846</c:v>
                </c:pt>
                <c:pt idx="3">
                  <c:v>33000</c:v>
                </c:pt>
                <c:pt idx="4">
                  <c:v>30900</c:v>
                </c:pt>
                <c:pt idx="5">
                  <c:v>218391</c:v>
                </c:pt>
                <c:pt idx="6">
                  <c:v>12500</c:v>
                </c:pt>
                <c:pt idx="7">
                  <c:v>5374</c:v>
                </c:pt>
                <c:pt idx="8">
                  <c:v>21000</c:v>
                </c:pt>
                <c:pt idx="9">
                  <c:v>2780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A5-4602-9666-3C08A7E66A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15450520"/>
        <c:axId val="515451832"/>
        <c:axId val="0"/>
      </c:bar3DChart>
      <c:catAx>
        <c:axId val="515450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15451832"/>
        <c:crosses val="autoZero"/>
        <c:auto val="1"/>
        <c:lblAlgn val="ctr"/>
        <c:lblOffset val="100"/>
        <c:noMultiLvlLbl val="0"/>
      </c:catAx>
      <c:valAx>
        <c:axId val="515451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15450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3057138019037952"/>
          <c:y val="0.94679626314316334"/>
          <c:w val="0.3025958578798878"/>
          <c:h val="4.662570497399475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'FI 25'!$B$56</c:f>
              <c:strCache>
                <c:ptCount val="1"/>
                <c:pt idx="0">
                  <c:v>Остварење 2024.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'FI 25'!$A$57:$A$63</c:f>
              <c:strCache>
                <c:ptCount val="7"/>
                <c:pt idx="0">
                  <c:v>Трошкови материјала, горива и енергије</c:v>
                </c:pt>
                <c:pt idx="1">
                  <c:v>Трошкови бруто зарада и бруто накнада, остали лични расходи</c:v>
                </c:pt>
                <c:pt idx="2">
                  <c:v>Трошкови производних услуга</c:v>
                </c:pt>
                <c:pt idx="3">
                  <c:v>Трошкови амортизације и отписа инвентара</c:v>
                </c:pt>
                <c:pt idx="4">
                  <c:v>Нематеријални трошкови</c:v>
                </c:pt>
                <c:pt idx="5">
                  <c:v>Трошкови пореза и доприноса</c:v>
                </c:pt>
                <c:pt idx="6">
                  <c:v>Чланарина IOSCO</c:v>
                </c:pt>
              </c:strCache>
            </c:strRef>
          </c:cat>
          <c:val>
            <c:numRef>
              <c:f>'FI 25'!$B$57:$B$63</c:f>
              <c:numCache>
                <c:formatCode>#,##0</c:formatCode>
                <c:ptCount val="7"/>
                <c:pt idx="0">
                  <c:v>11185</c:v>
                </c:pt>
                <c:pt idx="1">
                  <c:v>908262</c:v>
                </c:pt>
                <c:pt idx="2">
                  <c:v>139948</c:v>
                </c:pt>
                <c:pt idx="3">
                  <c:v>24671</c:v>
                </c:pt>
                <c:pt idx="4">
                  <c:v>26331</c:v>
                </c:pt>
                <c:pt idx="5">
                  <c:v>2511</c:v>
                </c:pt>
                <c:pt idx="6">
                  <c:v>39801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3A-4212-A31C-6370D0E0849B}"/>
            </c:ext>
          </c:extLst>
        </c:ser>
        <c:ser>
          <c:idx val="1"/>
          <c:order val="1"/>
          <c:tx>
            <c:strRef>
              <c:f>'FI 25'!$C$56</c:f>
              <c:strCache>
                <c:ptCount val="1"/>
                <c:pt idx="0">
                  <c:v>Остварење 2023.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'FI 25'!$A$57:$A$63</c:f>
              <c:strCache>
                <c:ptCount val="7"/>
                <c:pt idx="0">
                  <c:v>Трошкови материјала, горива и енергије</c:v>
                </c:pt>
                <c:pt idx="1">
                  <c:v>Трошкови бруто зарада и бруто накнада, остали лични расходи</c:v>
                </c:pt>
                <c:pt idx="2">
                  <c:v>Трошкови производних услуга</c:v>
                </c:pt>
                <c:pt idx="3">
                  <c:v>Трошкови амортизације и отписа инвентара</c:v>
                </c:pt>
                <c:pt idx="4">
                  <c:v>Нематеријални трошкови</c:v>
                </c:pt>
                <c:pt idx="5">
                  <c:v>Трошкови пореза и доприноса</c:v>
                </c:pt>
                <c:pt idx="6">
                  <c:v>Чланарина IOSCO</c:v>
                </c:pt>
              </c:strCache>
            </c:strRef>
          </c:cat>
          <c:val>
            <c:numRef>
              <c:f>'FI 25'!$C$57:$C$63</c:f>
              <c:numCache>
                <c:formatCode>#,##0</c:formatCode>
                <c:ptCount val="7"/>
                <c:pt idx="0">
                  <c:v>10947</c:v>
                </c:pt>
                <c:pt idx="1">
                  <c:v>890366</c:v>
                </c:pt>
                <c:pt idx="2">
                  <c:v>48390</c:v>
                </c:pt>
                <c:pt idx="3">
                  <c:v>25843</c:v>
                </c:pt>
                <c:pt idx="4">
                  <c:v>118325</c:v>
                </c:pt>
                <c:pt idx="5">
                  <c:v>2929</c:v>
                </c:pt>
                <c:pt idx="6">
                  <c:v>37583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3A-4212-A31C-6370D0E084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34214384"/>
        <c:axId val="634214712"/>
        <c:axId val="0"/>
      </c:bar3DChart>
      <c:catAx>
        <c:axId val="634214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34214712"/>
        <c:crosses val="autoZero"/>
        <c:auto val="1"/>
        <c:lblAlgn val="ctr"/>
        <c:lblOffset val="100"/>
        <c:noMultiLvlLbl val="0"/>
      </c:catAx>
      <c:valAx>
        <c:axId val="634214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34214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74AD-5610-48C1-84F6-A29C194E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ЗАБИЉЕШКЕ УЗ ФИНАНСИЈСКЕ ИЗВЈЕШТАЈЕ  ЗА 2003</vt:lpstr>
    </vt:vector>
  </TitlesOfParts>
  <Company>khov</Company>
  <LinksUpToDate>false</LinksUpToDate>
  <CharactersWithSpaces>4753</CharactersWithSpaces>
  <SharedDoc>false</SharedDoc>
  <HLinks>
    <vt:vector size="6" baseType="variant">
      <vt:variant>
        <vt:i4>8323117</vt:i4>
      </vt:variant>
      <vt:variant>
        <vt:i4>0</vt:i4>
      </vt:variant>
      <vt:variant>
        <vt:i4>0</vt:i4>
      </vt:variant>
      <vt:variant>
        <vt:i4>5</vt:i4>
      </vt:variant>
      <vt:variant>
        <vt:lpwstr>http://www.secrs.gov.ba/Izvjestaji/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ЗАБИЉЕШКЕ УЗ ФИНАНСИЈСКЕ ИЗВЈЕШТАЈЕ  ЗА 2003</dc:title>
  <dc:creator>s.savanovic</dc:creator>
  <cp:lastModifiedBy>Dino Đumić</cp:lastModifiedBy>
  <cp:revision>12</cp:revision>
  <cp:lastPrinted>2025-05-30T10:03:00Z</cp:lastPrinted>
  <dcterms:created xsi:type="dcterms:W3CDTF">2025-02-24T10:02:00Z</dcterms:created>
  <dcterms:modified xsi:type="dcterms:W3CDTF">2025-05-30T10:04:00Z</dcterms:modified>
</cp:coreProperties>
</file>